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110370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8F1949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февраля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110370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F44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70" w:rsidRPr="00110370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2071B5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E5" w:rsidRDefault="002A55F0" w:rsidP="00841FD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370"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="00CB6E34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 122 от 12 декабря 2019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</w:t>
      </w:r>
      <w:r w:rsidRPr="002A55F0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="00FF1DA9" w:rsidRPr="00CF35BD">
        <w:rPr>
          <w:rFonts w:ascii="Times New Roman" w:hAnsi="Times New Roman" w:cs="Times New Roman"/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 w:rsidR="00CB6E34">
        <w:rPr>
          <w:rFonts w:ascii="Times New Roman" w:hAnsi="Times New Roman" w:cs="Times New Roman"/>
          <w:sz w:val="28"/>
          <w:szCs w:val="28"/>
        </w:rPr>
        <w:t xml:space="preserve"> Ленинградской области» на 2020 год и плановый период 2021</w:t>
      </w:r>
      <w:r w:rsidRPr="002A55F0">
        <w:rPr>
          <w:rFonts w:ascii="Times New Roman" w:hAnsi="Times New Roman" w:cs="Times New Roman"/>
          <w:sz w:val="28"/>
          <w:szCs w:val="28"/>
        </w:rPr>
        <w:t xml:space="preserve"> и 202</w:t>
      </w:r>
      <w:r w:rsidR="00CB6E34">
        <w:rPr>
          <w:rFonts w:ascii="Times New Roman" w:hAnsi="Times New Roman" w:cs="Times New Roman"/>
          <w:sz w:val="28"/>
          <w:szCs w:val="28"/>
        </w:rPr>
        <w:t>2</w:t>
      </w:r>
      <w:r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1DA9" w:rsidRPr="00CF3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  <w:proofErr w:type="gramEnd"/>
    </w:p>
    <w:p w:rsidR="00681615" w:rsidRPr="00C013F1" w:rsidRDefault="00681615" w:rsidP="00C013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3F1" w:rsidRDefault="00C013F1" w:rsidP="00A57AE5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пре</w:t>
      </w:r>
      <w:r w:rsidR="00544BF4">
        <w:rPr>
          <w:rFonts w:ascii="Times New Roman" w:hAnsi="Times New Roman" w:cs="Times New Roman"/>
          <w:color w:val="000000"/>
          <w:sz w:val="28"/>
          <w:szCs w:val="28"/>
        </w:rPr>
        <w:t>амбулу Постановления в 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C013F1" w:rsidRDefault="00C013F1" w:rsidP="00C013F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3F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№131-ФЗ от 06 октября 2003 года «Об общих принципах организации местного самоуправления в Российской Федерации», Постановлением Администрации Борского сельского поселения Бокситогорского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Ленинградской области №</w:t>
      </w:r>
      <w:r w:rsidR="008F1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120 от 26</w:t>
      </w:r>
      <w:r w:rsidRPr="00C013F1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2019 года «Об утверждении Порядка разработки, реализации и оценке эффективности муниципальных программ Борского сельского поселения Бокситогорского муниципального района Ленинградской области» в целях осуществления стратегических социально-экономических преобразований</w:t>
      </w:r>
      <w:proofErr w:type="gramEnd"/>
      <w:r w:rsidRPr="00C013F1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мер по созданию предпосылок для устойчивого развития территории Борского сельского </w:t>
      </w:r>
      <w:r w:rsidRPr="00C013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731B6" w:rsidRDefault="00D731B6" w:rsidP="00C013F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1B5" w:rsidRPr="00544BF4" w:rsidRDefault="0078789F" w:rsidP="00A57AE5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="002071B5" w:rsidRPr="002071B5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2071B5" w:rsidRPr="00B6354A" w:rsidTr="002071B5">
        <w:trPr>
          <w:trHeight w:val="221"/>
        </w:trPr>
        <w:tc>
          <w:tcPr>
            <w:tcW w:w="2268" w:type="dxa"/>
            <w:vMerge w:val="restart"/>
          </w:tcPr>
          <w:p w:rsidR="002071B5" w:rsidRPr="006248F0" w:rsidRDefault="002071B5" w:rsidP="002071B5">
            <w:pPr>
              <w:widowControl w:val="0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2071B5" w:rsidRPr="00B6354A" w:rsidRDefault="002071B5" w:rsidP="002071B5">
            <w:pPr>
              <w:jc w:val="center"/>
            </w:pPr>
            <w:r w:rsidRPr="00B6354A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2071B5" w:rsidRDefault="002071B5" w:rsidP="002071B5">
            <w:pPr>
              <w:jc w:val="center"/>
            </w:pPr>
            <w:r>
              <w:t xml:space="preserve">Объем финансирования </w:t>
            </w:r>
          </w:p>
          <w:p w:rsidR="002071B5" w:rsidRPr="00B6354A" w:rsidRDefault="002071B5" w:rsidP="002071B5">
            <w:pPr>
              <w:jc w:val="center"/>
            </w:pPr>
            <w:r>
              <w:t>(тысяч рублей)</w:t>
            </w:r>
          </w:p>
        </w:tc>
      </w:tr>
      <w:tr w:rsidR="002071B5" w:rsidTr="002071B5">
        <w:trPr>
          <w:trHeight w:val="58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2071B5" w:rsidRPr="00B6354A" w:rsidRDefault="002071B5" w:rsidP="002071B5">
            <w:pPr>
              <w:jc w:val="center"/>
            </w:pPr>
          </w:p>
        </w:tc>
        <w:tc>
          <w:tcPr>
            <w:tcW w:w="1260" w:type="dxa"/>
            <w:vAlign w:val="center"/>
          </w:tcPr>
          <w:p w:rsidR="002071B5" w:rsidRPr="00B6354A" w:rsidRDefault="002071B5" w:rsidP="002071B5">
            <w:pPr>
              <w:jc w:val="center"/>
            </w:pPr>
            <w:r w:rsidRPr="00B6354A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2071B5" w:rsidRDefault="002071B5" w:rsidP="002071B5">
            <w:pPr>
              <w:jc w:val="center"/>
            </w:pPr>
            <w:r>
              <w:t>2</w:t>
            </w:r>
            <w:r w:rsidRPr="00B6354A">
              <w:t>-й год планового периода</w:t>
            </w:r>
          </w:p>
        </w:tc>
        <w:tc>
          <w:tcPr>
            <w:tcW w:w="1112" w:type="dxa"/>
            <w:vAlign w:val="center"/>
          </w:tcPr>
          <w:p w:rsidR="002071B5" w:rsidRDefault="002071B5" w:rsidP="002071B5">
            <w:pPr>
              <w:jc w:val="center"/>
            </w:pPr>
            <w:r>
              <w:t>3</w:t>
            </w:r>
            <w:r w:rsidRPr="00B6354A">
              <w:t>-й год планового периода</w:t>
            </w:r>
          </w:p>
        </w:tc>
      </w:tr>
      <w:tr w:rsidR="002071B5" w:rsidRPr="00B6354A" w:rsidTr="002071B5">
        <w:trPr>
          <w:trHeight w:val="58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2071B5" w:rsidRPr="00B6354A" w:rsidRDefault="002071B5" w:rsidP="002071B5">
            <w:pPr>
              <w:jc w:val="center"/>
            </w:pPr>
            <w:r w:rsidRPr="00B6354A">
              <w:t xml:space="preserve">Средства бюджета Борского сельского поселения Бокситогорского муниципального района </w:t>
            </w:r>
            <w:r>
              <w:t>ЛО</w:t>
            </w:r>
          </w:p>
        </w:tc>
        <w:tc>
          <w:tcPr>
            <w:tcW w:w="1260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15 893,1</w:t>
            </w:r>
          </w:p>
        </w:tc>
        <w:tc>
          <w:tcPr>
            <w:tcW w:w="1224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15 732,8</w:t>
            </w:r>
          </w:p>
        </w:tc>
        <w:tc>
          <w:tcPr>
            <w:tcW w:w="1112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15 860,6</w:t>
            </w:r>
          </w:p>
        </w:tc>
      </w:tr>
      <w:tr w:rsidR="002071B5" w:rsidRPr="00B6354A" w:rsidTr="002071B5">
        <w:trPr>
          <w:trHeight w:val="58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2071B5" w:rsidRPr="00B6354A" w:rsidRDefault="002071B5" w:rsidP="002071B5">
            <w:pPr>
              <w:jc w:val="center"/>
            </w:pPr>
            <w:r w:rsidRPr="00B6354A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2071B5" w:rsidRPr="004510DB" w:rsidRDefault="002071B5" w:rsidP="002071B5">
            <w:pPr>
              <w:jc w:val="center"/>
            </w:pPr>
            <w:r w:rsidRPr="004510DB">
              <w:t>2 327,7</w:t>
            </w:r>
          </w:p>
        </w:tc>
        <w:tc>
          <w:tcPr>
            <w:tcW w:w="1224" w:type="dxa"/>
            <w:vAlign w:val="center"/>
          </w:tcPr>
          <w:p w:rsidR="002071B5" w:rsidRPr="004510DB" w:rsidRDefault="002071B5" w:rsidP="002071B5">
            <w:pPr>
              <w:jc w:val="center"/>
            </w:pPr>
            <w:r w:rsidRPr="004510DB">
              <w:t>1 600,7</w:t>
            </w:r>
          </w:p>
        </w:tc>
        <w:tc>
          <w:tcPr>
            <w:tcW w:w="1112" w:type="dxa"/>
            <w:vAlign w:val="center"/>
          </w:tcPr>
          <w:p w:rsidR="002071B5" w:rsidRPr="004510DB" w:rsidRDefault="002071B5" w:rsidP="002071B5">
            <w:pPr>
              <w:jc w:val="center"/>
            </w:pPr>
          </w:p>
          <w:p w:rsidR="002071B5" w:rsidRPr="004510DB" w:rsidRDefault="002071B5" w:rsidP="002071B5">
            <w:pPr>
              <w:jc w:val="center"/>
            </w:pPr>
            <w:r w:rsidRPr="004510DB">
              <w:t>1 600,7</w:t>
            </w:r>
          </w:p>
          <w:p w:rsidR="002071B5" w:rsidRPr="004510DB" w:rsidRDefault="002071B5" w:rsidP="002071B5">
            <w:pPr>
              <w:jc w:val="center"/>
            </w:pPr>
          </w:p>
        </w:tc>
      </w:tr>
      <w:tr w:rsidR="002071B5" w:rsidRPr="00B6354A" w:rsidTr="002071B5">
        <w:trPr>
          <w:trHeight w:val="526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2071B5" w:rsidRPr="00B6354A" w:rsidRDefault="002071B5" w:rsidP="002071B5">
            <w:pPr>
              <w:jc w:val="center"/>
            </w:pPr>
            <w:r>
              <w:t>С</w:t>
            </w:r>
            <w:r w:rsidRPr="00B6354A">
              <w:t>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2071B5" w:rsidRPr="004510DB" w:rsidRDefault="002071B5" w:rsidP="002071B5">
            <w:pPr>
              <w:jc w:val="center"/>
            </w:pPr>
          </w:p>
          <w:p w:rsidR="002071B5" w:rsidRPr="004510DB" w:rsidRDefault="004510DB" w:rsidP="002071B5">
            <w:pPr>
              <w:jc w:val="center"/>
            </w:pPr>
            <w:r w:rsidRPr="004510DB">
              <w:t>4 944,5</w:t>
            </w:r>
          </w:p>
          <w:p w:rsidR="002071B5" w:rsidRPr="004510DB" w:rsidRDefault="002071B5" w:rsidP="002071B5">
            <w:pPr>
              <w:jc w:val="center"/>
            </w:pPr>
          </w:p>
        </w:tc>
        <w:tc>
          <w:tcPr>
            <w:tcW w:w="1224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461,8</w:t>
            </w:r>
          </w:p>
        </w:tc>
        <w:tc>
          <w:tcPr>
            <w:tcW w:w="1112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461,8</w:t>
            </w:r>
          </w:p>
        </w:tc>
      </w:tr>
      <w:tr w:rsidR="002071B5" w:rsidRPr="00B6354A" w:rsidTr="002071B5">
        <w:trPr>
          <w:trHeight w:val="708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2071B5" w:rsidRDefault="002071B5" w:rsidP="002071B5">
            <w:pPr>
              <w:jc w:val="center"/>
            </w:pPr>
            <w:r w:rsidRPr="00B6354A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23 165,3</w:t>
            </w:r>
          </w:p>
        </w:tc>
        <w:tc>
          <w:tcPr>
            <w:tcW w:w="1224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17 795,3</w:t>
            </w:r>
          </w:p>
        </w:tc>
        <w:tc>
          <w:tcPr>
            <w:tcW w:w="1112" w:type="dxa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17 923,1</w:t>
            </w:r>
          </w:p>
        </w:tc>
      </w:tr>
      <w:tr w:rsidR="002071B5" w:rsidRPr="00B6354A" w:rsidTr="002071B5">
        <w:trPr>
          <w:trHeight w:val="852"/>
        </w:trPr>
        <w:tc>
          <w:tcPr>
            <w:tcW w:w="2268" w:type="dxa"/>
            <w:vMerge/>
          </w:tcPr>
          <w:p w:rsidR="002071B5" w:rsidRPr="006568EA" w:rsidRDefault="002071B5" w:rsidP="002071B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2071B5" w:rsidRPr="00B6354A" w:rsidRDefault="002071B5" w:rsidP="002071B5">
            <w:pPr>
              <w:jc w:val="center"/>
            </w:pPr>
            <w:r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2071B5" w:rsidRPr="004510DB" w:rsidRDefault="004510DB" w:rsidP="002071B5">
            <w:pPr>
              <w:jc w:val="center"/>
            </w:pPr>
            <w:r w:rsidRPr="004510DB">
              <w:t>58 883,7</w:t>
            </w:r>
          </w:p>
        </w:tc>
      </w:tr>
    </w:tbl>
    <w:p w:rsidR="00534E9F" w:rsidRDefault="00534E9F" w:rsidP="0020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262" w:rsidRPr="00544BF4" w:rsidRDefault="00534E9F" w:rsidP="00D731B6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5A7262" w:rsidRDefault="005A7262" w:rsidP="00A57AE5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8E496E" w:rsidRPr="008E496E" w:rsidTr="00F3577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8E496E" w:rsidRPr="008E496E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8E496E" w:rsidRPr="008E496E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1 244,0</w:t>
            </w:r>
          </w:p>
        </w:tc>
      </w:tr>
      <w:tr w:rsidR="008E496E" w:rsidRPr="008E496E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496E" w:rsidRPr="008E496E" w:rsidTr="00F3577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</w:tr>
      <w:tr w:rsidR="008E496E" w:rsidRPr="008E496E" w:rsidTr="00F3577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1 867,4</w:t>
            </w:r>
          </w:p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1 913,4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1 961,4</w:t>
            </w:r>
          </w:p>
        </w:tc>
      </w:tr>
      <w:tr w:rsidR="008E496E" w:rsidRPr="008E496E" w:rsidTr="00F3577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E496E" w:rsidRPr="008E496E" w:rsidRDefault="008E496E" w:rsidP="008E49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E496E" w:rsidRPr="008E496E" w:rsidRDefault="008E496E" w:rsidP="008E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5 742,2</w:t>
            </w:r>
          </w:p>
        </w:tc>
      </w:tr>
    </w:tbl>
    <w:p w:rsidR="00534E9F" w:rsidRPr="0030202B" w:rsidRDefault="00534E9F" w:rsidP="003020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3DFB" w:rsidRDefault="00183DFB" w:rsidP="00A57AE5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6 «Паспорт подпрограммы 6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183D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жилищного хозяйства на </w:t>
      </w:r>
      <w:r w:rsidRPr="00183D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0202B" w:rsidRPr="0030202B" w:rsidTr="00F3577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0202B" w:rsidRPr="0030202B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0202B" w:rsidRPr="0030202B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0202B" w:rsidRPr="0030202B" w:rsidRDefault="00F35772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2 300,4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0202B" w:rsidRPr="0030202B" w:rsidTr="00F3577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02B" w:rsidRPr="0030202B" w:rsidTr="00F3577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0202B" w:rsidRPr="0030202B" w:rsidTr="00F3577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02B" w:rsidRPr="0030202B" w:rsidRDefault="00F35772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2 300,4</w:t>
            </w:r>
          </w:p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0202B" w:rsidRPr="0030202B" w:rsidTr="00F3577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0202B" w:rsidRPr="0030202B" w:rsidRDefault="0030202B" w:rsidP="00302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0202B" w:rsidRPr="0030202B" w:rsidRDefault="0030202B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0202B" w:rsidRPr="0030202B" w:rsidRDefault="00F35772" w:rsidP="00302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5 332,4</w:t>
            </w:r>
          </w:p>
        </w:tc>
      </w:tr>
    </w:tbl>
    <w:p w:rsidR="00183DFB" w:rsidRPr="00183DFB" w:rsidRDefault="00183DFB" w:rsidP="00183D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Default="00534E9F" w:rsidP="00A57AE5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CC74EA" w:rsidRPr="00CC74EA" w:rsidTr="005B709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CC74EA" w:rsidRPr="00CC74EA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CC74EA" w:rsidRPr="00CC74EA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CC74EA" w:rsidRPr="00CC74EA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4EA" w:rsidRPr="00CC74EA" w:rsidTr="005B709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74EA" w:rsidRPr="00CC74EA" w:rsidTr="005B709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708,0</w:t>
            </w:r>
          </w:p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CC74EA" w:rsidRPr="00CC74EA" w:rsidTr="005B709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CC74EA" w:rsidRPr="00CC74EA" w:rsidRDefault="00CC74EA" w:rsidP="00CC7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C74EA" w:rsidRPr="00CC74EA" w:rsidRDefault="00CC74EA" w:rsidP="00C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4 507,4</w:t>
            </w:r>
          </w:p>
        </w:tc>
      </w:tr>
    </w:tbl>
    <w:p w:rsidR="00534E9F" w:rsidRPr="00F94D68" w:rsidRDefault="00534E9F" w:rsidP="00F94D68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Pr="004760B6" w:rsidRDefault="00534E9F" w:rsidP="00A57AE5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F94D68" w:rsidRPr="00F94D68" w:rsidTr="005B709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F94D68" w:rsidRPr="00F94D68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год 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2-й год 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3-й год 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</w:tr>
      <w:tr w:rsidR="00F94D68" w:rsidRPr="00F94D68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3 306,7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F94D68" w:rsidRPr="00F94D68" w:rsidTr="005B709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D68" w:rsidRPr="00F94D68" w:rsidTr="005B709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94D68" w:rsidRPr="00F94D68" w:rsidTr="005B709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3 306,7</w:t>
            </w:r>
          </w:p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F94D68" w:rsidRPr="00F94D68" w:rsidTr="005B709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F94D68" w:rsidRPr="00F94D68" w:rsidRDefault="00F94D68" w:rsidP="00F94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94D68" w:rsidRPr="00F94D68" w:rsidRDefault="00F94D68" w:rsidP="00F9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94D68" w:rsidRPr="00AF73EB" w:rsidRDefault="00F94D68" w:rsidP="00A57AE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3EB">
              <w:rPr>
                <w:rFonts w:ascii="Times New Roman" w:eastAsia="Calibri" w:hAnsi="Times New Roman" w:cs="Times New Roman"/>
                <w:sz w:val="20"/>
                <w:szCs w:val="20"/>
              </w:rPr>
              <w:t>572,1</w:t>
            </w:r>
          </w:p>
        </w:tc>
      </w:tr>
    </w:tbl>
    <w:p w:rsidR="002D0E37" w:rsidRPr="00A409CD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BF4" w:rsidRDefault="00F35E1F" w:rsidP="00A57AE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4BF4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544BF4" w:rsidRDefault="00F35E1F" w:rsidP="00A57AE5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AF73EB" w:rsidRPr="00544BF4">
        <w:rPr>
          <w:rFonts w:ascii="Times New Roman" w:hAnsi="Times New Roman" w:cs="Times New Roman"/>
          <w:sz w:val="28"/>
          <w:szCs w:val="28"/>
        </w:rPr>
        <w:t>1</w:t>
      </w:r>
      <w:r w:rsidRPr="00544BF4">
        <w:rPr>
          <w:rFonts w:ascii="Times New Roman" w:hAnsi="Times New Roman" w:cs="Times New Roman"/>
          <w:sz w:val="28"/>
          <w:szCs w:val="28"/>
        </w:rPr>
        <w:t xml:space="preserve"> «</w:t>
      </w:r>
      <w:r w:rsidR="00AF73EB" w:rsidRPr="00544BF4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hAnsi="Times New Roman" w:cs="Times New Roman"/>
          <w:sz w:val="28"/>
          <w:szCs w:val="28"/>
        </w:rPr>
        <w:t>»</w:t>
      </w:r>
      <w:r w:rsidR="00DD665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B7430">
        <w:rPr>
          <w:rFonts w:ascii="Times New Roman" w:hAnsi="Times New Roman" w:cs="Times New Roman"/>
          <w:sz w:val="28"/>
          <w:szCs w:val="28"/>
        </w:rPr>
        <w:t xml:space="preserve"> 1</w:t>
      </w:r>
      <w:r w:rsidR="00544BF4">
        <w:rPr>
          <w:rFonts w:ascii="Times New Roman" w:hAnsi="Times New Roman" w:cs="Times New Roman"/>
          <w:sz w:val="28"/>
          <w:szCs w:val="28"/>
        </w:rPr>
        <w:t>;</w:t>
      </w:r>
    </w:p>
    <w:p w:rsidR="00544BF4" w:rsidRDefault="00AF73EB" w:rsidP="00A57AE5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>«Паспорт Подпрограммы 2 «Развитие частей территории Борского сельского поселения Бокситогорского муниципального района Ленинградской области»</w:t>
      </w:r>
      <w:r w:rsidR="002B7430">
        <w:rPr>
          <w:rFonts w:ascii="Times New Roman" w:hAnsi="Times New Roman" w:cs="Times New Roman"/>
          <w:sz w:val="28"/>
          <w:szCs w:val="28"/>
        </w:rPr>
        <w:t>,</w:t>
      </w:r>
      <w:r w:rsidRPr="00544BF4">
        <w:rPr>
          <w:rFonts w:ascii="Times New Roman" w:hAnsi="Times New Roman" w:cs="Times New Roman"/>
          <w:sz w:val="28"/>
          <w:szCs w:val="28"/>
        </w:rPr>
        <w:t xml:space="preserve"> </w:t>
      </w:r>
      <w:r w:rsidR="002B7430"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B7430">
        <w:rPr>
          <w:rFonts w:ascii="Times New Roman" w:hAnsi="Times New Roman" w:cs="Times New Roman"/>
          <w:sz w:val="28"/>
          <w:szCs w:val="28"/>
        </w:rPr>
        <w:t>2</w:t>
      </w:r>
      <w:r w:rsidR="00544BF4">
        <w:rPr>
          <w:rFonts w:ascii="Times New Roman" w:hAnsi="Times New Roman" w:cs="Times New Roman"/>
          <w:sz w:val="28"/>
          <w:szCs w:val="28"/>
        </w:rPr>
        <w:t>;</w:t>
      </w:r>
    </w:p>
    <w:p w:rsidR="00544BF4" w:rsidRDefault="00AF73EB" w:rsidP="00A57AE5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>«Паспорт Подпрограммы 3 «</w:t>
      </w:r>
      <w:r w:rsidRPr="00544BF4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hAnsi="Times New Roman" w:cs="Times New Roman"/>
          <w:sz w:val="28"/>
          <w:szCs w:val="28"/>
        </w:rPr>
        <w:t>»</w:t>
      </w:r>
      <w:r w:rsidR="002B7430">
        <w:rPr>
          <w:rFonts w:ascii="Times New Roman" w:hAnsi="Times New Roman" w:cs="Times New Roman"/>
          <w:sz w:val="28"/>
          <w:szCs w:val="28"/>
        </w:rPr>
        <w:t>,</w:t>
      </w:r>
      <w:r w:rsidRPr="00544BF4">
        <w:rPr>
          <w:rFonts w:ascii="Times New Roman" w:hAnsi="Times New Roman" w:cs="Times New Roman"/>
          <w:sz w:val="28"/>
          <w:szCs w:val="28"/>
        </w:rPr>
        <w:t xml:space="preserve"> </w:t>
      </w:r>
      <w:r w:rsidR="002B7430"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B7430">
        <w:rPr>
          <w:rFonts w:ascii="Times New Roman" w:hAnsi="Times New Roman" w:cs="Times New Roman"/>
          <w:sz w:val="28"/>
          <w:szCs w:val="28"/>
        </w:rPr>
        <w:t>3</w:t>
      </w:r>
      <w:r w:rsidR="00544BF4">
        <w:rPr>
          <w:rFonts w:ascii="Times New Roman" w:hAnsi="Times New Roman" w:cs="Times New Roman"/>
          <w:sz w:val="28"/>
          <w:szCs w:val="28"/>
        </w:rPr>
        <w:t>;</w:t>
      </w:r>
    </w:p>
    <w:p w:rsidR="00A409CD" w:rsidRPr="002B7430" w:rsidRDefault="00AF73EB" w:rsidP="002B7430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Pr="002B7430">
        <w:rPr>
          <w:rFonts w:ascii="Times New Roman" w:hAnsi="Times New Roman" w:cs="Times New Roman"/>
          <w:sz w:val="28"/>
          <w:szCs w:val="28"/>
        </w:rPr>
        <w:t>Подпрограммы 9 «</w:t>
      </w:r>
      <w:r w:rsidRPr="002B7430">
        <w:rPr>
          <w:rFonts w:ascii="Times New Roman" w:hAnsi="Times New Roman" w:cs="Times New Roman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2B7430">
        <w:rPr>
          <w:rFonts w:ascii="Times New Roman" w:hAnsi="Times New Roman" w:cs="Times New Roman"/>
          <w:sz w:val="28"/>
          <w:szCs w:val="28"/>
        </w:rPr>
        <w:t>»</w:t>
      </w:r>
      <w:r w:rsidR="002B7430">
        <w:rPr>
          <w:rFonts w:ascii="Times New Roman" w:hAnsi="Times New Roman" w:cs="Times New Roman"/>
          <w:sz w:val="28"/>
          <w:szCs w:val="28"/>
        </w:rPr>
        <w:t>,</w:t>
      </w:r>
      <w:r w:rsidRPr="002B7430">
        <w:rPr>
          <w:rFonts w:ascii="Times New Roman" w:hAnsi="Times New Roman" w:cs="Times New Roman"/>
          <w:sz w:val="28"/>
          <w:szCs w:val="28"/>
        </w:rPr>
        <w:t xml:space="preserve"> </w:t>
      </w:r>
      <w:r w:rsidR="002B7430"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B7430">
        <w:rPr>
          <w:rFonts w:ascii="Times New Roman" w:hAnsi="Times New Roman" w:cs="Times New Roman"/>
          <w:sz w:val="28"/>
          <w:szCs w:val="28"/>
        </w:rPr>
        <w:t>4</w:t>
      </w:r>
      <w:r w:rsidR="00544BF4" w:rsidRPr="002B7430">
        <w:rPr>
          <w:rFonts w:ascii="Times New Roman" w:hAnsi="Times New Roman" w:cs="Times New Roman"/>
          <w:sz w:val="28"/>
          <w:szCs w:val="28"/>
        </w:rPr>
        <w:t>.</w:t>
      </w:r>
    </w:p>
    <w:p w:rsidR="00544BF4" w:rsidRPr="002B7430" w:rsidRDefault="00544BF4" w:rsidP="002B7430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9CD" w:rsidRPr="002B7430" w:rsidRDefault="00A409CD" w:rsidP="002B7430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430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201 от 11 декабря 2015 года</w:t>
      </w:r>
      <w:r w:rsidRPr="002B74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743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«Борьба с борщевиком Сосновского на территории Борского сельского поселения на 2016-2020 годы»</w:t>
      </w:r>
      <w:r w:rsidR="002B7430" w:rsidRPr="002B7430">
        <w:rPr>
          <w:rFonts w:ascii="Times New Roman" w:hAnsi="Times New Roman" w:cs="Times New Roman"/>
          <w:sz w:val="28"/>
          <w:szCs w:val="28"/>
        </w:rPr>
        <w:t>» с изменениями и дополнениями, внесенными Постановлениями Администрации Борского сельского поселения Бокситогорского муниципального района</w:t>
      </w:r>
      <w:r w:rsidR="002B7430">
        <w:rPr>
          <w:rFonts w:ascii="Times New Roman" w:hAnsi="Times New Roman" w:cs="Times New Roman"/>
          <w:sz w:val="28"/>
          <w:szCs w:val="28"/>
        </w:rPr>
        <w:t xml:space="preserve"> № 8 от 23 января 2017</w:t>
      </w:r>
      <w:r w:rsidR="002B7430" w:rsidRPr="002B743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B7430">
        <w:rPr>
          <w:rFonts w:ascii="Times New Roman" w:hAnsi="Times New Roman" w:cs="Times New Roman"/>
          <w:sz w:val="28"/>
          <w:szCs w:val="28"/>
        </w:rPr>
        <w:t xml:space="preserve"> № 81 от 09 июня 2017 года, № 81-а от 13 июня 2017 года, № 5 от 15</w:t>
      </w:r>
      <w:proofErr w:type="gramEnd"/>
      <w:r w:rsidR="002B7430">
        <w:rPr>
          <w:rFonts w:ascii="Times New Roman" w:hAnsi="Times New Roman" w:cs="Times New Roman"/>
          <w:sz w:val="28"/>
          <w:szCs w:val="28"/>
        </w:rPr>
        <w:t xml:space="preserve"> января 2018 года, № 80 от 14 сентября 2018 года.</w:t>
      </w:r>
    </w:p>
    <w:p w:rsidR="00A409CD" w:rsidRPr="002B7430" w:rsidRDefault="00A409CD" w:rsidP="002B7430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695" w:rsidRPr="002B7430" w:rsidRDefault="00134583" w:rsidP="002B7430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544BF4" w:rsidRPr="002B7430" w:rsidRDefault="00544BF4" w:rsidP="002B7430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695" w:rsidRDefault="00134583" w:rsidP="002B7430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2B7430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2B7430">
        <w:rPr>
          <w:rFonts w:ascii="Times New Roman" w:hAnsi="Times New Roman" w:cs="Times New Roman"/>
          <w:sz w:val="28"/>
          <w:szCs w:val="28"/>
        </w:rPr>
        <w:t>на официальном сайте Борс</w:t>
      </w:r>
      <w:r w:rsidRPr="008C3695">
        <w:rPr>
          <w:rFonts w:ascii="Times New Roman" w:hAnsi="Times New Roman" w:cs="Times New Roman"/>
          <w:sz w:val="28"/>
          <w:szCs w:val="28"/>
        </w:rPr>
        <w:t>кого сельского поселения Бокситогорского муниципального района Ленинградской области.</w:t>
      </w:r>
    </w:p>
    <w:p w:rsidR="00544BF4" w:rsidRPr="00A409CD" w:rsidRDefault="00544BF4" w:rsidP="00544B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583" w:rsidRPr="008C3695" w:rsidRDefault="00134583" w:rsidP="002B7430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44BF4" w:rsidRDefault="00544BF4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7E" w:rsidRDefault="00445E7E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7E" w:rsidRDefault="00445E7E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CD" w:rsidRDefault="00A409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544BF4" w:rsidRPr="00544BF4" w:rsidRDefault="00D825D7" w:rsidP="0054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06A67">
        <w:rPr>
          <w:rFonts w:ascii="Times New Roman" w:hAnsi="Times New Roman" w:cs="Times New Roman"/>
          <w:sz w:val="28"/>
          <w:szCs w:val="28"/>
        </w:rPr>
        <w:t xml:space="preserve">ФЭС АБСП БМР ЛО, </w:t>
      </w:r>
      <w:r w:rsidRPr="00D825D7">
        <w:rPr>
          <w:rFonts w:ascii="Times New Roman" w:hAnsi="Times New Roman" w:cs="Times New Roman"/>
          <w:sz w:val="28"/>
          <w:szCs w:val="28"/>
        </w:rPr>
        <w:t>КСК</w:t>
      </w:r>
      <w:r w:rsidR="00906A67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D825D7">
        <w:rPr>
          <w:rFonts w:ascii="Times New Roman" w:hAnsi="Times New Roman" w:cs="Times New Roman"/>
          <w:sz w:val="28"/>
          <w:szCs w:val="28"/>
        </w:rPr>
        <w:t>, КФ БМР</w:t>
      </w:r>
      <w:r w:rsidR="00906A67">
        <w:rPr>
          <w:rFonts w:ascii="Times New Roman" w:hAnsi="Times New Roman" w:cs="Times New Roman"/>
          <w:sz w:val="28"/>
          <w:szCs w:val="28"/>
        </w:rPr>
        <w:t xml:space="preserve"> АБМР ЛО, прокуратура,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="00544BF4">
        <w:rPr>
          <w:rFonts w:ascii="Times New Roman" w:hAnsi="Times New Roman" w:cs="Times New Roman"/>
          <w:sz w:val="28"/>
          <w:szCs w:val="28"/>
        </w:rPr>
        <w:t>.</w:t>
      </w: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7430" w:rsidRDefault="002B7430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5E7E" w:rsidRDefault="00445E7E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D6655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544BF4" w:rsidRPr="00544BF4" w:rsidRDefault="002B7430" w:rsidP="002B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ПАСПОРТ ПОДПРОГРАММЫ 1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238"/>
      </w:tblGrid>
      <w:tr w:rsidR="00544BF4" w:rsidRPr="00544BF4" w:rsidTr="00DD6655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DD6655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инициативной комиссии территории деревни Бор Борского сельского поселения Бокситогорского муниципального района Ленинградской области.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Бокситогорского муниципального района Ленинградской области 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 февраля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№174 «Об организации участия населения в осуществлении местного самоуправления в иных формах на территории административного центра деревни Бор».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D731B6" w:rsidRDefault="00D731B6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31B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жизнедеятельности в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 Бор.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D731B6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731B6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части территории, являющейся административным центром Борского сельского поселения</w:t>
            </w:r>
          </w:p>
        </w:tc>
      </w:tr>
      <w:tr w:rsidR="00544BF4" w:rsidRPr="00544BF4" w:rsidTr="00DD6655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DD665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DD665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DD6655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1 368,4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544BF4" w:rsidRPr="00544BF4" w:rsidRDefault="00DA290E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части территории деревни Бор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1.  Характеристика проблемы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развития деревни, на решение которых  направлена реализация подпрограммы, относятся низкий уровень благоустройства и обеспеченности инженерной инфраструктурой населенного пункта. 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2. 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оздание комфортных условий жизнедеятельности в деревне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части территории, являющейся административным центром Борского сельского поселения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4" w:rsidRPr="00544BF4" w:rsidRDefault="00544BF4" w:rsidP="001D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4. 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95" w:rsidRPr="002E7B95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544BF4" w:rsidRPr="002E7B95" w:rsidRDefault="002E7B95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>расширение и ограждение контейнерных площадок с целью установки дополнительных мусорных контейнеров у МКД №33, д.75, МКД №12, МКД №25, МКД №22, МКД №19;</w:t>
      </w:r>
    </w:p>
    <w:p w:rsidR="002E7B95" w:rsidRPr="00544BF4" w:rsidRDefault="002E7B95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 (Санитарная обрезка и спил аварийных деревьев и кустарников, демонтаж старых железобетонных свай, засыпка старого котлована, рекультивация земли) с последующим благоустройством пешеходных дорожек.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части территории деревни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части территории административного центра деревни Бор Борского сельского поселения 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134"/>
        <w:gridCol w:w="1134"/>
        <w:gridCol w:w="1134"/>
        <w:gridCol w:w="1031"/>
        <w:gridCol w:w="2654"/>
      </w:tblGrid>
      <w:tr w:rsidR="001245A2" w:rsidRPr="001245A2" w:rsidTr="00DA290E">
        <w:trPr>
          <w:trHeight w:val="555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7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45A2" w:rsidRPr="001245A2" w:rsidTr="00DA290E">
        <w:trPr>
          <w:trHeight w:val="322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ограждение контейнерных площадок с целью установки дополнительных мусорных контейнеров у МКД №33, д.75, МКД №12, МКД №25, МКД №22, МКД №19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245A2" w:rsidRPr="001245A2" w:rsidTr="00DA290E">
        <w:trPr>
          <w:trHeight w:val="673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110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у МБОУ «Борская средняя общеобразовательная школа» и МКДОУ «Борский детский сад» (Санитарная обрезка и спил аварийных деревьев и кустарников, демонтаж старых железобетонных свай, засыпка старого котлована, рекультивация земли) с последующим благоустройством пешеходных дорожек.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779E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245A2" w:rsidRPr="001245A2" w:rsidTr="00DA290E">
        <w:trPr>
          <w:trHeight w:val="3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779E2" w:rsidP="001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RPr="001245A2" w:rsidSect="00C02BE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409CD" w:rsidRP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409CD" w:rsidRP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9CD" w:rsidRP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A409CD" w:rsidRP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A409CD" w:rsidRP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409CD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9CD"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544BF4" w:rsidRPr="00544BF4" w:rsidTr="001245A2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1245A2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сельской местности.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Default="008F1949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F1949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пожарной безопасности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2A9C" w:rsidRPr="00544BF4" w:rsidRDefault="00092A9C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92A9C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безопасности жителей.</w:t>
            </w:r>
          </w:p>
        </w:tc>
      </w:tr>
      <w:tr w:rsidR="00544BF4" w:rsidRPr="00544BF4" w:rsidTr="001245A2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1245A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1245A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1245A2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1 837,7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благоустройства территории 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евень; повышение уровня жизни сельских жителей;</w:t>
            </w:r>
          </w:p>
          <w:p w:rsid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еспечение пожарной безопасности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занятости детей в свободное от занятий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P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жизнедеятельности жителей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Pr="00544BF4" w:rsidRDefault="006906C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544BF4" w:rsidRPr="00544BF4" w:rsidRDefault="006906C4" w:rsidP="0069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44BF4" w:rsidRPr="00544BF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является:</w:t>
      </w:r>
      <w:r w:rsidR="00544BF4"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беспечение пожарной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территории, безопасности жителей.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544BF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чистка пожарных водоемов в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Большой Остров;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>приобретение, установка и монтаж детской площадки в д. Селище;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контейнерных площадок для накопления ТКО в 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пос. СХТ, д. Большой Остров, д. Славково,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Дороховая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Болото,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Овинец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Жилоток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Мошня, д. Носово,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Дмитрово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 д. Заполье,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Зубакино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Максимова Гора,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</w:rPr>
        <w:t>устая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 Глина,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Половное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Рудная Горка,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Пареево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Мозолево-1, д. Мозолево-2;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>спил и уборка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пасных деревьев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пос. СХТ, д. Большой Остров.</w:t>
      </w:r>
    </w:p>
    <w:p w:rsidR="00544BF4" w:rsidRPr="00544BF4" w:rsidRDefault="00544BF4" w:rsidP="0069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2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территории  деревень; повышение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уровня жизни сельских жителей;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занятости детей в свободное от занятий время;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безопасности жизнедеятельности жителей;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активизации участия граждан в решении вопросов местного значения;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развитию в сельской местности иных форм местного самоуправления.</w:t>
      </w:r>
      <w:r w:rsidR="002B7430" w:rsidRPr="0054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941" w:rsidRDefault="003E5941" w:rsidP="0054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941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частей территории Борского сельского поселения 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6"/>
        <w:gridCol w:w="3686"/>
        <w:gridCol w:w="1134"/>
        <w:gridCol w:w="1134"/>
        <w:gridCol w:w="1134"/>
        <w:gridCol w:w="1134"/>
        <w:gridCol w:w="1134"/>
        <w:gridCol w:w="1031"/>
        <w:gridCol w:w="2654"/>
      </w:tblGrid>
      <w:tr w:rsidR="001418A9" w:rsidRPr="001245A2" w:rsidTr="00E74270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8A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1245A2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Чистка пожарных водоемов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Большой Остров.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Мозолево-1, д. Мозолево-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Pr="001245A2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установка и монтаж детской площадки в д. Селище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5655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Мозолево-1, д. Мозолево-</w:t>
            </w:r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Горка,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3E5941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Обустройство контейнерных площадок для накопления ТКО в 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пос. СХТ, д. Большой Остров, д. Славково,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д. Носово,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д. Заполье,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Максимова Гора, д.</w:t>
            </w:r>
            <w:r w:rsid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Пустая Глина,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Мозолево-1, д. Мозолево-2.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Селище, д. Славково, дер. Большой Остров,</w:t>
            </w:r>
            <w:proofErr w:type="gramEnd"/>
          </w:p>
          <w:p w:rsidR="005655E4" w:rsidRPr="003E5941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Спил и уборка опасных деревьев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 пос. СХТ, д. Большой Остров.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E5941" w:rsidSect="003E594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202AB1" w:rsidRDefault="00202AB1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ПАСПОРТ ПОДПРОГРАММЫ 3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978"/>
        <w:gridCol w:w="1418"/>
        <w:gridCol w:w="1417"/>
        <w:gridCol w:w="1418"/>
      </w:tblGrid>
      <w:tr w:rsidR="00544BF4" w:rsidRPr="00544BF4" w:rsidTr="001245A2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октября 2003  года №131-ФЗ  «Об общих принципах организации местного самоуправления в Российской Федерации»,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10 января 2002 года № 7-ФЗ  "Об охране окружающей среды".</w:t>
            </w:r>
          </w:p>
        </w:tc>
      </w:tr>
      <w:tr w:rsidR="00544BF4" w:rsidRPr="00544BF4" w:rsidTr="001245A2">
        <w:trPr>
          <w:trHeight w:val="667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</w:t>
            </w:r>
          </w:p>
          <w:p w:rsidR="00544BF4" w:rsidRPr="00544BF4" w:rsidRDefault="00544BF4" w:rsidP="00544BF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земель путем его локализации и ликвидации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544BF4" w:rsidRPr="00544BF4" w:rsidTr="001245A2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44BF4" w:rsidRPr="00544BF4" w:rsidTr="005C0D8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 w:rsidR="005C0D85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5C0D8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5C0D8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5C0D8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5C0D8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A0FAA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5C0D85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 w:rsidR="005C0D85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A0FAA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5C0D85">
        <w:trPr>
          <w:trHeight w:val="87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44BF4" w:rsidRPr="00544BF4" w:rsidRDefault="005A0FAA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491,7</w:t>
            </w:r>
          </w:p>
        </w:tc>
      </w:tr>
      <w:tr w:rsidR="00544BF4" w:rsidRPr="00544BF4" w:rsidTr="001245A2">
        <w:trPr>
          <w:trHeight w:val="280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544BF4" w:rsidRPr="00544BF4" w:rsidRDefault="00544BF4" w:rsidP="00544BF4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544BF4" w:rsidRPr="00544BF4" w:rsidRDefault="00544BF4" w:rsidP="00544BF4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544BF4" w:rsidRPr="00544BF4" w:rsidRDefault="00544BF4" w:rsidP="00544BF4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3.Исключение случаев травматизма среди населения.</w:t>
            </w:r>
          </w:p>
        </w:tc>
      </w:tr>
      <w:tr w:rsidR="00544BF4" w:rsidRPr="00544BF4" w:rsidTr="001245A2">
        <w:trPr>
          <w:trHeight w:val="444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индикаторы реализации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борщевика Сосновского 32,2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544BF4" w:rsidRPr="00544BF4" w:rsidRDefault="00544BF4" w:rsidP="0054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A57A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проблемы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544BF4">
        <w:rPr>
          <w:rFonts w:ascii="Times New Roman" w:eastAsia="Times New Roman" w:hAnsi="Times New Roman" w:cs="Times New Roman"/>
          <w:sz w:val="28"/>
          <w:szCs w:val="28"/>
        </w:rPr>
        <w:t>фурокумарины</w:t>
      </w:r>
      <w:proofErr w:type="spellEnd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544BF4">
        <w:rPr>
          <w:rFonts w:ascii="Times New Roman" w:eastAsia="Times New Roman" w:hAnsi="Times New Roman" w:cs="Times New Roman"/>
          <w:sz w:val="28"/>
          <w:szCs w:val="28"/>
        </w:rPr>
        <w:t>фитоэкстрогены</w:t>
      </w:r>
      <w:proofErr w:type="spellEnd"/>
      <w:r w:rsidRPr="00544BF4">
        <w:rPr>
          <w:rFonts w:ascii="Times New Roman" w:eastAsia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44BF4" w:rsidRPr="00E0010B" w:rsidRDefault="00544BF4" w:rsidP="00E0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</w:t>
      </w:r>
      <w:r w:rsidR="00E0010B">
        <w:rPr>
          <w:rFonts w:ascii="Times New Roman" w:eastAsia="Times New Roman" w:hAnsi="Times New Roman" w:cs="Times New Roman"/>
          <w:sz w:val="28"/>
          <w:szCs w:val="28"/>
        </w:rPr>
        <w:t xml:space="preserve">тывать свои земельные участки.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локализация и ликвидация очагов распространения борщевика на территории Борского сельского поселения Бокситогорского муниципального района Ленинградской области, а также исключение случаев травматизма среди населения.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земельных ресурсов, сохранение сбалансированной экосистемы природных ландшафтов на территории Борского сельского поселения Бокситогорского муниципального района Ленинградской области.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Реализацию подпрограммы предполаг</w:t>
      </w:r>
      <w:r w:rsidR="005C0D85">
        <w:rPr>
          <w:rFonts w:ascii="Times New Roman" w:eastAsia="Times New Roman" w:hAnsi="Times New Roman" w:cs="Times New Roman"/>
          <w:sz w:val="28"/>
          <w:szCs w:val="28"/>
        </w:rPr>
        <w:t xml:space="preserve">ается осуществить в период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10B">
        <w:rPr>
          <w:rFonts w:ascii="Times New Roman" w:eastAsia="Times New Roman" w:hAnsi="Times New Roman" w:cs="Times New Roman"/>
          <w:sz w:val="28"/>
          <w:szCs w:val="28"/>
        </w:rPr>
        <w:t>020 года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54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предусматривают:</w:t>
      </w:r>
    </w:p>
    <w:p w:rsidR="00544BF4" w:rsidRPr="00544BF4" w:rsidRDefault="00544BF4" w:rsidP="00A57AE5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44BF4" w:rsidRPr="00544BF4" w:rsidRDefault="00544BF4" w:rsidP="00A57AE5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544BF4" w:rsidRPr="00544BF4" w:rsidRDefault="00544BF4" w:rsidP="00A57AE5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544BF4" w:rsidRPr="00544BF4" w:rsidRDefault="00544BF4" w:rsidP="00A57AE5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проведенного комплекса мероприятий Подпрограммы. </w:t>
      </w:r>
    </w:p>
    <w:p w:rsidR="00544BF4" w:rsidRPr="00544BF4" w:rsidRDefault="00544BF4" w:rsidP="0054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E0010B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>В результате реализации Подпрограммы планируется освободи</w:t>
      </w:r>
      <w:r w:rsidR="00D22AFA">
        <w:rPr>
          <w:rFonts w:ascii="Times New Roman" w:eastAsia="Times New Roman" w:hAnsi="Times New Roman" w:cs="Times New Roman"/>
          <w:sz w:val="28"/>
          <w:szCs w:val="28"/>
        </w:rPr>
        <w:t>ть от борщевика Сосновского 40,2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га земель Борского сельского поселения Бокситогорского муниципального района Ленинградской области.</w:t>
      </w:r>
    </w:p>
    <w:p w:rsidR="00E0010B" w:rsidRPr="00E0010B" w:rsidRDefault="00E0010B" w:rsidP="00E0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E001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Подпрограммы </w:t>
      </w:r>
      <w:r w:rsidRPr="00E00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Глава администрации сельского поселения. Оценка эффективности проведенного комплекса мероприятий Подпрограммы осуществляется на основании контрактов, заключенных со </w:t>
      </w:r>
      <w:proofErr w:type="gramStart"/>
      <w:r w:rsidRPr="00E0010B">
        <w:rPr>
          <w:rFonts w:ascii="Times New Roman" w:eastAsia="Times New Roman" w:hAnsi="Times New Roman" w:cs="Times New Roman"/>
          <w:sz w:val="28"/>
          <w:szCs w:val="28"/>
        </w:rPr>
        <w:t>специализированной организацией, имеющей право на выполнение данного вида работ и проводится</w:t>
      </w:r>
      <w:proofErr w:type="gramEnd"/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Подпрограммы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44BF4" w:rsidRPr="00544BF4" w:rsidSect="003E594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мероприятий ПОДПРОГРАММЫ 3 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14745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544BF4" w:rsidRPr="00544BF4" w:rsidTr="001245A2">
        <w:tc>
          <w:tcPr>
            <w:tcW w:w="392" w:type="dxa"/>
            <w:vMerge w:val="restart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№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proofErr w:type="gramStart"/>
            <w:r w:rsidRPr="00544BF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544BF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Срок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Источник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544BF4">
              <w:rPr>
                <w:rFonts w:eastAsia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Объем финансирования</w:t>
            </w:r>
          </w:p>
          <w:p w:rsidR="00544BF4" w:rsidRPr="00544BF4" w:rsidRDefault="00D22AFA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 годам, </w:t>
            </w:r>
            <w:r w:rsidR="00544BF4" w:rsidRPr="00544BF4">
              <w:rPr>
                <w:rFonts w:eastAsia="Times New Roman"/>
                <w:sz w:val="28"/>
                <w:szCs w:val="28"/>
              </w:rPr>
              <w:t>руб.</w:t>
            </w:r>
          </w:p>
        </w:tc>
      </w:tr>
      <w:tr w:rsidR="00544BF4" w:rsidRPr="00544BF4" w:rsidTr="001245A2">
        <w:tc>
          <w:tcPr>
            <w:tcW w:w="392" w:type="dxa"/>
            <w:vMerge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2020</w:t>
            </w:r>
          </w:p>
        </w:tc>
      </w:tr>
      <w:tr w:rsidR="00544BF4" w:rsidRPr="00544BF4" w:rsidTr="001245A2">
        <w:tc>
          <w:tcPr>
            <w:tcW w:w="3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544BF4" w:rsidRPr="00544BF4" w:rsidTr="001245A2">
        <w:trPr>
          <w:trHeight w:val="58"/>
        </w:trPr>
        <w:tc>
          <w:tcPr>
            <w:tcW w:w="3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2016-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Бюджет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сельского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</w:tr>
      <w:tr w:rsidR="00544BF4" w:rsidRPr="00544BF4" w:rsidTr="001245A2">
        <w:trPr>
          <w:trHeight w:val="386"/>
        </w:trPr>
        <w:tc>
          <w:tcPr>
            <w:tcW w:w="3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Мероприятия по уничтожению борщевика: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  <w:u w:val="single"/>
              </w:rPr>
              <w:t>Химический метод</w:t>
            </w:r>
            <w:r w:rsidRPr="00544BF4">
              <w:rPr>
                <w:rFonts w:eastAsia="Times New Roman"/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Бюджет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сельского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550 000</w:t>
            </w:r>
          </w:p>
        </w:tc>
        <w:tc>
          <w:tcPr>
            <w:tcW w:w="980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100 000</w:t>
            </w:r>
          </w:p>
        </w:tc>
      </w:tr>
      <w:tr w:rsidR="00544BF4" w:rsidRPr="00544BF4" w:rsidTr="001245A2">
        <w:tc>
          <w:tcPr>
            <w:tcW w:w="3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Бюджет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сельского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184 000</w:t>
            </w:r>
          </w:p>
        </w:tc>
        <w:tc>
          <w:tcPr>
            <w:tcW w:w="980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</w:tr>
      <w:tr w:rsidR="00544BF4" w:rsidRPr="00544BF4" w:rsidTr="001245A2">
        <w:tc>
          <w:tcPr>
            <w:tcW w:w="392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Бюджет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сельского</w:t>
            </w: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1 024 000</w:t>
            </w:r>
          </w:p>
        </w:tc>
        <w:tc>
          <w:tcPr>
            <w:tcW w:w="980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200 000</w:t>
            </w:r>
          </w:p>
        </w:tc>
      </w:tr>
    </w:tbl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4BF4" w:rsidRPr="00544BF4" w:rsidRDefault="00544BF4" w:rsidP="0054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544BF4" w:rsidRPr="00544BF4" w:rsidTr="001245A2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44BF4" w:rsidRPr="00544BF4" w:rsidTr="001245A2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44BF4" w:rsidRPr="00544BF4" w:rsidTr="001245A2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BF4" w:rsidRPr="00544BF4" w:rsidRDefault="00544BF4" w:rsidP="00A57AE5">
            <w:pPr>
              <w:numPr>
                <w:ilvl w:val="0"/>
                <w:numId w:val="10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-70"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544BF4" w:rsidRPr="00544BF4" w:rsidRDefault="00544BF4" w:rsidP="00544BF4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-70"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1.1.  Химический метод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F4" w:rsidRPr="00544BF4" w:rsidRDefault="00544BF4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BF4" w:rsidRPr="00544BF4" w:rsidRDefault="00DD6655" w:rsidP="00544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40,2</w:t>
            </w:r>
          </w:p>
        </w:tc>
      </w:tr>
    </w:tbl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44BF4" w:rsidRPr="00544BF4" w:rsidSect="005A0F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202AB1" w:rsidRP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02AB1" w:rsidRDefault="00202AB1" w:rsidP="0020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AB1"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A57AE5" w:rsidRPr="00A57AE5" w:rsidRDefault="00A57AE5" w:rsidP="002B7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57AE5">
        <w:rPr>
          <w:rFonts w:ascii="Times New Roman" w:eastAsia="Calibri" w:hAnsi="Times New Roman" w:cs="Times New Roman"/>
          <w:bCs/>
          <w:sz w:val="28"/>
          <w:szCs w:val="28"/>
        </w:rPr>
        <w:t>ПАСПОРТ ПОДПРОГРАММЫ 9</w:t>
      </w: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57AE5"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</w:t>
      </w: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A57AE5" w:rsidRPr="00A57AE5" w:rsidTr="001245A2">
        <w:trPr>
          <w:trHeight w:val="393"/>
        </w:trPr>
        <w:tc>
          <w:tcPr>
            <w:tcW w:w="2127" w:type="dxa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A57AE5" w:rsidRPr="00A57AE5" w:rsidRDefault="00A57AE5" w:rsidP="00A5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57AE5" w:rsidRPr="00A57AE5" w:rsidTr="001245A2">
        <w:trPr>
          <w:trHeight w:val="58"/>
        </w:trPr>
        <w:tc>
          <w:tcPr>
            <w:tcW w:w="2127" w:type="dxa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A57AE5" w:rsidRPr="00A57AE5" w:rsidRDefault="00A57AE5" w:rsidP="00A57AE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культуры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57AE5" w:rsidRPr="00A57AE5" w:rsidTr="001245A2">
        <w:trPr>
          <w:trHeight w:val="58"/>
        </w:trPr>
        <w:tc>
          <w:tcPr>
            <w:tcW w:w="2127" w:type="dxa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A57AE5" w:rsidRPr="00A57AE5" w:rsidRDefault="00A57AE5" w:rsidP="00A57AE5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A57AE5" w:rsidRPr="00A57AE5" w:rsidRDefault="00A57AE5" w:rsidP="00A57AE5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A279C0" w:rsidRDefault="00A279C0" w:rsidP="00A279C0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предоставления межбюджетного трансферта, передаваемого бюджету Бокситогорского муниципального района</w:t>
            </w:r>
            <w:r w:rsidR="00A57AE5"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  <w:p w:rsidR="00E74270" w:rsidRPr="00A279C0" w:rsidRDefault="00A279C0" w:rsidP="00A279C0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279C0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общественной инфраструктуры муниципального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AE5" w:rsidRPr="00A57AE5" w:rsidTr="001245A2">
        <w:trPr>
          <w:trHeight w:val="163"/>
        </w:trPr>
        <w:tc>
          <w:tcPr>
            <w:tcW w:w="2127" w:type="dxa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A57AE5" w:rsidRPr="00A57AE5" w:rsidTr="001245A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A57AE5" w:rsidRPr="00A57AE5" w:rsidTr="001245A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A57AE5" w:rsidRPr="00A57AE5" w:rsidTr="001245A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7 300,9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A57AE5" w:rsidRPr="00A57AE5" w:rsidTr="001245A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1 972,1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AE5" w:rsidRPr="00A57AE5" w:rsidTr="001245A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E5" w:rsidRPr="00A57AE5" w:rsidRDefault="009C450A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1 584,9</w:t>
            </w:r>
          </w:p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57AE5" w:rsidRPr="00A57AE5" w:rsidTr="001245A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E5" w:rsidRPr="00A57AE5" w:rsidRDefault="007E2B51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10 857,9</w:t>
            </w:r>
          </w:p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8 405,1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A57AE5" w:rsidRPr="00A57AE5" w:rsidTr="001245A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A57AE5" w:rsidRPr="00A57AE5" w:rsidRDefault="00A57AE5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E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A57AE5" w:rsidRPr="00A57AE5" w:rsidRDefault="007E2B51" w:rsidP="00A5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27 668,1</w:t>
            </w:r>
          </w:p>
        </w:tc>
      </w:tr>
      <w:tr w:rsidR="00A57AE5" w:rsidRPr="00A57AE5" w:rsidTr="001245A2">
        <w:trPr>
          <w:trHeight w:val="322"/>
        </w:trPr>
        <w:tc>
          <w:tcPr>
            <w:tcW w:w="2127" w:type="dxa"/>
            <w:shd w:val="clear" w:color="auto" w:fill="auto"/>
          </w:tcPr>
          <w:p w:rsidR="00A57AE5" w:rsidRPr="00A57AE5" w:rsidRDefault="00A57AE5" w:rsidP="00A57A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A57AE5" w:rsidRPr="00A57AE5" w:rsidRDefault="00A57AE5" w:rsidP="00A5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A57AE5" w:rsidRPr="00A57AE5" w:rsidRDefault="00A57AE5" w:rsidP="00A5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пользователей библиотек, увеличение числа зрителей </w:t>
            </w:r>
            <w:r w:rsidR="0016404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мероприятий; пополнение библиотечных фондов, повышение заработной платы работников учреждений культуры.</w:t>
            </w:r>
          </w:p>
        </w:tc>
      </w:tr>
    </w:tbl>
    <w:p w:rsidR="00A57AE5" w:rsidRPr="00A57AE5" w:rsidRDefault="00A57AE5" w:rsidP="00A57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AE5" w:rsidRPr="00A57AE5" w:rsidRDefault="00A57AE5" w:rsidP="00A57A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57AE5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проблемы</w:t>
      </w: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57AE5" w:rsidRPr="00A57AE5" w:rsidRDefault="00A57AE5" w:rsidP="00A57A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создание условий для развития культуры на территории Борского сельского поселения Бокситогорского муниципального района Ленинградской области.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A57A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4047" w:rsidRPr="00164047" w:rsidRDefault="00164047" w:rsidP="0016404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164047">
        <w:rPr>
          <w:rFonts w:ascii="Times New Roman" w:eastAsia="Times New Roman" w:hAnsi="Times New Roman" w:cs="Times New Roman"/>
          <w:sz w:val="28"/>
          <w:szCs w:val="28"/>
        </w:rPr>
        <w:t>беспечение деятельности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ниципальных учреждений культуры;</w:t>
      </w:r>
    </w:p>
    <w:p w:rsidR="00164047" w:rsidRPr="00164047" w:rsidRDefault="00164047" w:rsidP="0016404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4047">
        <w:rPr>
          <w:rFonts w:ascii="Times New Roman" w:eastAsia="Times New Roman" w:hAnsi="Times New Roman" w:cs="Times New Roman"/>
          <w:sz w:val="28"/>
          <w:szCs w:val="28"/>
        </w:rPr>
        <w:t>беспечение выплат стимулирующего характера работникам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ниципальных учреждений культуры;</w:t>
      </w:r>
    </w:p>
    <w:p w:rsidR="00164047" w:rsidRPr="00164047" w:rsidRDefault="00164047" w:rsidP="0016404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4047">
        <w:rPr>
          <w:rFonts w:ascii="Times New Roman" w:eastAsia="Times New Roman" w:hAnsi="Times New Roman" w:cs="Times New Roman"/>
          <w:sz w:val="28"/>
          <w:szCs w:val="28"/>
        </w:rPr>
        <w:t>беспечение предоставления межбюджетного трансферта, передаваемого бюджету Бокситогорского муниципального района по организации библиотечного обслуживания и комплектованию библиотечных фондов библиотек поселений в рамках обеспечения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учреждений культуры;</w:t>
      </w:r>
    </w:p>
    <w:p w:rsidR="00A57AE5" w:rsidRPr="00A57AE5" w:rsidRDefault="00164047" w:rsidP="0016404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4047">
        <w:rPr>
          <w:rFonts w:ascii="Times New Roman" w:eastAsia="Times New Roman" w:hAnsi="Times New Roman" w:cs="Times New Roman"/>
          <w:sz w:val="28"/>
          <w:szCs w:val="28"/>
        </w:rPr>
        <w:t>азвития общественной инфраструктуры муниципального значения.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AE5" w:rsidRPr="00A57AE5" w:rsidRDefault="00A57AE5" w:rsidP="00A57AE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 поддержка народного творчества и национальных культур,</w:t>
      </w:r>
      <w:r w:rsidRPr="00A5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AE5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библиотечного дела на территории поселения,</w:t>
      </w:r>
      <w:r w:rsidRPr="00A5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AE5">
        <w:rPr>
          <w:rFonts w:ascii="Times New Roman" w:eastAsia="Times New Roman" w:hAnsi="Times New Roman" w:cs="Times New Roman"/>
          <w:sz w:val="28"/>
          <w:szCs w:val="28"/>
        </w:rPr>
        <w:t>обустройство поселения объектами социальной поддержки,</w:t>
      </w:r>
      <w:r w:rsidRPr="00A5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AE5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</w:t>
      </w:r>
      <w:r w:rsidR="00164047">
        <w:rPr>
          <w:rFonts w:ascii="Times New Roman" w:eastAsia="Times New Roman" w:hAnsi="Times New Roman" w:cs="Times New Roman"/>
          <w:sz w:val="28"/>
          <w:szCs w:val="28"/>
        </w:rPr>
        <w:t xml:space="preserve"> МБУ «Борский культурный центр»</w:t>
      </w:r>
      <w:r w:rsidRPr="00A57A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AE5" w:rsidRPr="00A57AE5" w:rsidRDefault="00A57AE5" w:rsidP="00A57A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A57AE5" w:rsidRPr="00A57AE5" w:rsidRDefault="00A57AE5" w:rsidP="00A57A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</w:t>
      </w:r>
    </w:p>
    <w:p w:rsidR="00A57AE5" w:rsidRPr="00A57AE5" w:rsidRDefault="00A57AE5" w:rsidP="00A57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AE5" w:rsidRPr="00A57AE5" w:rsidRDefault="00A57AE5" w:rsidP="00A57A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A57AE5" w:rsidRPr="00A57AE5" w:rsidRDefault="00A57AE5" w:rsidP="00A57A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7AE5" w:rsidRPr="00A57AE5" w:rsidRDefault="00A57AE5" w:rsidP="00A5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="003A159E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3A159E" w:rsidRPr="003A159E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3A159E">
        <w:rPr>
          <w:rFonts w:ascii="Times New Roman" w:eastAsia="Times New Roman" w:hAnsi="Times New Roman" w:cs="Times New Roman"/>
          <w:sz w:val="28"/>
          <w:szCs w:val="28"/>
        </w:rPr>
        <w:t>ьзователей библиотек, увеличению</w:t>
      </w:r>
      <w:r w:rsidR="003A159E" w:rsidRPr="003A159E">
        <w:rPr>
          <w:rFonts w:ascii="Times New Roman" w:eastAsia="Times New Roman" w:hAnsi="Times New Roman" w:cs="Times New Roman"/>
          <w:sz w:val="28"/>
          <w:szCs w:val="28"/>
        </w:rPr>
        <w:t xml:space="preserve"> числа зрителей культ</w:t>
      </w:r>
      <w:r w:rsidR="003A159E">
        <w:rPr>
          <w:rFonts w:ascii="Times New Roman" w:eastAsia="Times New Roman" w:hAnsi="Times New Roman" w:cs="Times New Roman"/>
          <w:sz w:val="28"/>
          <w:szCs w:val="28"/>
        </w:rPr>
        <w:t>урно-досуговых мероприятий, пополнению библиотечных фондов, повышению</w:t>
      </w:r>
      <w:r w:rsidR="003A159E" w:rsidRPr="003A159E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</w:t>
      </w:r>
      <w:r w:rsidR="003A159E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учреждений культуры, укреплению материально-технической базы </w:t>
      </w:r>
      <w:r w:rsidR="003A159E" w:rsidRPr="003A159E">
        <w:rPr>
          <w:rFonts w:ascii="Times New Roman" w:eastAsia="Times New Roman" w:hAnsi="Times New Roman" w:cs="Times New Roman"/>
          <w:sz w:val="28"/>
          <w:szCs w:val="28"/>
        </w:rPr>
        <w:t>МБУ «Борский культурный центр».</w:t>
      </w:r>
    </w:p>
    <w:p w:rsidR="00A57AE5" w:rsidRPr="00A57AE5" w:rsidRDefault="00A57AE5" w:rsidP="00A5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AE5" w:rsidRPr="00A57AE5" w:rsidRDefault="00A57AE5" w:rsidP="00A5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3E59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1418A9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8A9" w:rsidRPr="001418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на территории Борского сельского поселения </w:t>
      </w:r>
    </w:p>
    <w:p w:rsidR="00775218" w:rsidRDefault="001418A9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8A9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="00775218" w:rsidRPr="008161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590A" w:rsidRDefault="003A159E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</w:t>
      </w:r>
    </w:p>
    <w:p w:rsidR="003A159E" w:rsidRPr="0081614C" w:rsidRDefault="00C4590A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159E" w:rsidRPr="003A159E">
        <w:rPr>
          <w:rFonts w:ascii="Times New Roman" w:eastAsia="Times New Roman" w:hAnsi="Times New Roman" w:cs="Times New Roman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sz w:val="28"/>
          <w:szCs w:val="28"/>
        </w:rPr>
        <w:t>ие материально-технической базы Муниципального бюджетного учрежде</w:t>
      </w:r>
      <w:r w:rsidR="00A42F4D">
        <w:rPr>
          <w:rFonts w:ascii="Times New Roman" w:eastAsia="Times New Roman" w:hAnsi="Times New Roman" w:cs="Times New Roman"/>
          <w:sz w:val="28"/>
          <w:szCs w:val="28"/>
        </w:rPr>
        <w:t>ния «Борский культурный центр»»</w:t>
      </w:r>
    </w:p>
    <w:p w:rsidR="00775218" w:rsidRPr="0081614C" w:rsidRDefault="00775218" w:rsidP="0014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134"/>
        <w:gridCol w:w="1134"/>
        <w:gridCol w:w="1134"/>
        <w:gridCol w:w="1031"/>
        <w:gridCol w:w="2654"/>
      </w:tblGrid>
      <w:tr w:rsidR="001418A9" w:rsidRPr="001245A2" w:rsidTr="0044484E">
        <w:trPr>
          <w:trHeight w:val="555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418A9" w:rsidRPr="001245A2" w:rsidTr="0044484E">
        <w:trPr>
          <w:trHeight w:val="255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44484E">
        <w:trPr>
          <w:trHeight w:val="7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44484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8A9" w:rsidRPr="001245A2" w:rsidTr="0044484E">
        <w:trPr>
          <w:trHeight w:val="322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F9248B" w:rsidP="00F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субсидии на у</w:t>
            </w:r>
            <w:bookmarkStart w:id="0" w:name="_GoBack"/>
            <w:bookmarkEnd w:id="0"/>
            <w:r w:rsidRPr="00F9248B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 материально-технической базы Муниципального бюджетного учреждения «Борский культурный центр</w:t>
            </w:r>
            <w:r w:rsidR="00C45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(приобретение аккордеона)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C4590A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C4590A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C4590A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418A9" w:rsidRPr="001245A2" w:rsidTr="0044484E">
        <w:trPr>
          <w:trHeight w:val="322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44484E">
        <w:trPr>
          <w:trHeight w:val="3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C4590A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C4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45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C4590A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B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5218" w:rsidRPr="0081614C" w:rsidRDefault="00775218" w:rsidP="0077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1418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3E5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75C9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93712"/>
    <w:multiLevelType w:val="multilevel"/>
    <w:tmpl w:val="E05A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7"/>
  </w:num>
  <w:num w:numId="7">
    <w:abstractNumId w:val="20"/>
  </w:num>
  <w:num w:numId="8">
    <w:abstractNumId w:val="6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10"/>
  </w:num>
  <w:num w:numId="14">
    <w:abstractNumId w:val="16"/>
  </w:num>
  <w:num w:numId="15">
    <w:abstractNumId w:val="18"/>
  </w:num>
  <w:num w:numId="16">
    <w:abstractNumId w:val="8"/>
  </w:num>
  <w:num w:numId="17">
    <w:abstractNumId w:val="14"/>
  </w:num>
  <w:num w:numId="18">
    <w:abstractNumId w:val="11"/>
  </w:num>
  <w:num w:numId="19">
    <w:abstractNumId w:val="9"/>
  </w:num>
  <w:num w:numId="20">
    <w:abstractNumId w:val="0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968"/>
    <w:rsid w:val="00025934"/>
    <w:rsid w:val="000366B0"/>
    <w:rsid w:val="00046ECB"/>
    <w:rsid w:val="00056479"/>
    <w:rsid w:val="00062976"/>
    <w:rsid w:val="00067DDF"/>
    <w:rsid w:val="00085492"/>
    <w:rsid w:val="000911D9"/>
    <w:rsid w:val="00092A9C"/>
    <w:rsid w:val="000B6953"/>
    <w:rsid w:val="000B7A68"/>
    <w:rsid w:val="000C2A91"/>
    <w:rsid w:val="000D1193"/>
    <w:rsid w:val="000F3253"/>
    <w:rsid w:val="00105880"/>
    <w:rsid w:val="00110370"/>
    <w:rsid w:val="00111BF2"/>
    <w:rsid w:val="0011515C"/>
    <w:rsid w:val="00123520"/>
    <w:rsid w:val="001245A2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38CB"/>
    <w:rsid w:val="001E3989"/>
    <w:rsid w:val="001F2B11"/>
    <w:rsid w:val="001F537E"/>
    <w:rsid w:val="00202AB1"/>
    <w:rsid w:val="00205EFB"/>
    <w:rsid w:val="002071B5"/>
    <w:rsid w:val="00207622"/>
    <w:rsid w:val="00213E5B"/>
    <w:rsid w:val="002157FD"/>
    <w:rsid w:val="002379B8"/>
    <w:rsid w:val="0024466F"/>
    <w:rsid w:val="00263E55"/>
    <w:rsid w:val="00277B55"/>
    <w:rsid w:val="00293CFE"/>
    <w:rsid w:val="002A55F0"/>
    <w:rsid w:val="002B5F1D"/>
    <w:rsid w:val="002B7430"/>
    <w:rsid w:val="002C63CD"/>
    <w:rsid w:val="002D0E37"/>
    <w:rsid w:val="002E68DE"/>
    <w:rsid w:val="002E7B95"/>
    <w:rsid w:val="002F3444"/>
    <w:rsid w:val="0030202B"/>
    <w:rsid w:val="00311645"/>
    <w:rsid w:val="003140D7"/>
    <w:rsid w:val="003340AA"/>
    <w:rsid w:val="0034148E"/>
    <w:rsid w:val="00366D0D"/>
    <w:rsid w:val="003712C3"/>
    <w:rsid w:val="003903F8"/>
    <w:rsid w:val="003909DC"/>
    <w:rsid w:val="003A159E"/>
    <w:rsid w:val="003B7CA2"/>
    <w:rsid w:val="003D16D6"/>
    <w:rsid w:val="003E5941"/>
    <w:rsid w:val="004113DF"/>
    <w:rsid w:val="00440DB7"/>
    <w:rsid w:val="0044484E"/>
    <w:rsid w:val="00445E7E"/>
    <w:rsid w:val="004510DB"/>
    <w:rsid w:val="00462996"/>
    <w:rsid w:val="004672E5"/>
    <w:rsid w:val="00470039"/>
    <w:rsid w:val="00474F02"/>
    <w:rsid w:val="004760B6"/>
    <w:rsid w:val="00493AAD"/>
    <w:rsid w:val="004B2F8E"/>
    <w:rsid w:val="004F7B16"/>
    <w:rsid w:val="00510253"/>
    <w:rsid w:val="005106C2"/>
    <w:rsid w:val="00534E9F"/>
    <w:rsid w:val="005444BC"/>
    <w:rsid w:val="00544BF4"/>
    <w:rsid w:val="00557786"/>
    <w:rsid w:val="005655E4"/>
    <w:rsid w:val="00566519"/>
    <w:rsid w:val="00570B01"/>
    <w:rsid w:val="0057267F"/>
    <w:rsid w:val="00574728"/>
    <w:rsid w:val="005840ED"/>
    <w:rsid w:val="00584D64"/>
    <w:rsid w:val="005A0C48"/>
    <w:rsid w:val="005A0FAA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80ABD"/>
    <w:rsid w:val="00681615"/>
    <w:rsid w:val="00684EC0"/>
    <w:rsid w:val="006906C4"/>
    <w:rsid w:val="006C1D68"/>
    <w:rsid w:val="006F02EC"/>
    <w:rsid w:val="006F670F"/>
    <w:rsid w:val="00717AEE"/>
    <w:rsid w:val="00721335"/>
    <w:rsid w:val="007527F3"/>
    <w:rsid w:val="00765664"/>
    <w:rsid w:val="00772248"/>
    <w:rsid w:val="00775218"/>
    <w:rsid w:val="007842BD"/>
    <w:rsid w:val="0078789F"/>
    <w:rsid w:val="007A1D12"/>
    <w:rsid w:val="007D60FB"/>
    <w:rsid w:val="007E2B51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C450A"/>
    <w:rsid w:val="009D012F"/>
    <w:rsid w:val="009D669D"/>
    <w:rsid w:val="00A26E13"/>
    <w:rsid w:val="00A279C0"/>
    <w:rsid w:val="00A35DE7"/>
    <w:rsid w:val="00A409CD"/>
    <w:rsid w:val="00A42F4D"/>
    <w:rsid w:val="00A44259"/>
    <w:rsid w:val="00A57AE5"/>
    <w:rsid w:val="00A6769E"/>
    <w:rsid w:val="00A80317"/>
    <w:rsid w:val="00AA2851"/>
    <w:rsid w:val="00AA5387"/>
    <w:rsid w:val="00AA635E"/>
    <w:rsid w:val="00AB4B96"/>
    <w:rsid w:val="00AB7B26"/>
    <w:rsid w:val="00AC2D42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241E8"/>
    <w:rsid w:val="00B33599"/>
    <w:rsid w:val="00B42BF8"/>
    <w:rsid w:val="00B45544"/>
    <w:rsid w:val="00B553E5"/>
    <w:rsid w:val="00B9698E"/>
    <w:rsid w:val="00BA6B86"/>
    <w:rsid w:val="00BC7D95"/>
    <w:rsid w:val="00BE0659"/>
    <w:rsid w:val="00C013F1"/>
    <w:rsid w:val="00C02844"/>
    <w:rsid w:val="00C02BEB"/>
    <w:rsid w:val="00C317D4"/>
    <w:rsid w:val="00C3295E"/>
    <w:rsid w:val="00C344F4"/>
    <w:rsid w:val="00C433B8"/>
    <w:rsid w:val="00C4590A"/>
    <w:rsid w:val="00C65AF3"/>
    <w:rsid w:val="00C73ECE"/>
    <w:rsid w:val="00C848B6"/>
    <w:rsid w:val="00CB6E34"/>
    <w:rsid w:val="00CB770C"/>
    <w:rsid w:val="00CC2D30"/>
    <w:rsid w:val="00CC74EA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22AFA"/>
    <w:rsid w:val="00D40F1D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F1695"/>
    <w:rsid w:val="00DF2276"/>
    <w:rsid w:val="00E0010B"/>
    <w:rsid w:val="00E03497"/>
    <w:rsid w:val="00E11C68"/>
    <w:rsid w:val="00E27479"/>
    <w:rsid w:val="00E41052"/>
    <w:rsid w:val="00E53151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35772"/>
    <w:rsid w:val="00F35E1F"/>
    <w:rsid w:val="00F44C79"/>
    <w:rsid w:val="00F46548"/>
    <w:rsid w:val="00F47C8E"/>
    <w:rsid w:val="00F55C07"/>
    <w:rsid w:val="00F70340"/>
    <w:rsid w:val="00F718BC"/>
    <w:rsid w:val="00F91B3F"/>
    <w:rsid w:val="00F9248B"/>
    <w:rsid w:val="00F94D68"/>
    <w:rsid w:val="00F978B5"/>
    <w:rsid w:val="00F97B7F"/>
    <w:rsid w:val="00FB62ED"/>
    <w:rsid w:val="00FB7F86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3E2E-B1FE-40B9-8AA5-84F8BEE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26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172</cp:revision>
  <cp:lastPrinted>2019-08-01T08:17:00Z</cp:lastPrinted>
  <dcterms:created xsi:type="dcterms:W3CDTF">2018-04-02T16:29:00Z</dcterms:created>
  <dcterms:modified xsi:type="dcterms:W3CDTF">2020-02-18T09:39:00Z</dcterms:modified>
</cp:coreProperties>
</file>