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4C1323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622476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22476">
        <w:rPr>
          <w:rFonts w:ascii="Times New Roman" w:hAnsi="Times New Roman" w:cs="Times New Roman"/>
          <w:sz w:val="32"/>
          <w:szCs w:val="32"/>
        </w:rPr>
        <w:t>Р</w:t>
      </w:r>
      <w:r w:rsidR="00622476">
        <w:rPr>
          <w:rFonts w:ascii="Times New Roman" w:hAnsi="Times New Roman" w:cs="Times New Roman"/>
          <w:sz w:val="32"/>
          <w:szCs w:val="32"/>
        </w:rPr>
        <w:t xml:space="preserve"> </w:t>
      </w:r>
      <w:r w:rsidRPr="00622476">
        <w:rPr>
          <w:rFonts w:ascii="Times New Roman" w:hAnsi="Times New Roman" w:cs="Times New Roman"/>
          <w:sz w:val="32"/>
          <w:szCs w:val="32"/>
        </w:rPr>
        <w:t>Е</w:t>
      </w:r>
      <w:r w:rsidR="00622476">
        <w:rPr>
          <w:rFonts w:ascii="Times New Roman" w:hAnsi="Times New Roman" w:cs="Times New Roman"/>
          <w:sz w:val="32"/>
          <w:szCs w:val="32"/>
        </w:rPr>
        <w:t xml:space="preserve"> </w:t>
      </w:r>
      <w:r w:rsidRPr="00622476">
        <w:rPr>
          <w:rFonts w:ascii="Times New Roman" w:hAnsi="Times New Roman" w:cs="Times New Roman"/>
          <w:sz w:val="32"/>
          <w:szCs w:val="32"/>
        </w:rPr>
        <w:t>Ш</w:t>
      </w:r>
      <w:r w:rsidR="00622476">
        <w:rPr>
          <w:rFonts w:ascii="Times New Roman" w:hAnsi="Times New Roman" w:cs="Times New Roman"/>
          <w:sz w:val="32"/>
          <w:szCs w:val="32"/>
        </w:rPr>
        <w:t xml:space="preserve"> </w:t>
      </w:r>
      <w:r w:rsidRPr="00622476">
        <w:rPr>
          <w:rFonts w:ascii="Times New Roman" w:hAnsi="Times New Roman" w:cs="Times New Roman"/>
          <w:sz w:val="32"/>
          <w:szCs w:val="32"/>
        </w:rPr>
        <w:t>Е</w:t>
      </w:r>
      <w:r w:rsidR="00622476">
        <w:rPr>
          <w:rFonts w:ascii="Times New Roman" w:hAnsi="Times New Roman" w:cs="Times New Roman"/>
          <w:sz w:val="32"/>
          <w:szCs w:val="32"/>
        </w:rPr>
        <w:t xml:space="preserve"> </w:t>
      </w:r>
      <w:r w:rsidRPr="00622476">
        <w:rPr>
          <w:rFonts w:ascii="Times New Roman" w:hAnsi="Times New Roman" w:cs="Times New Roman"/>
          <w:sz w:val="32"/>
          <w:szCs w:val="32"/>
        </w:rPr>
        <w:t>Н</w:t>
      </w:r>
      <w:r w:rsidR="00622476">
        <w:rPr>
          <w:rFonts w:ascii="Times New Roman" w:hAnsi="Times New Roman" w:cs="Times New Roman"/>
          <w:sz w:val="32"/>
          <w:szCs w:val="32"/>
        </w:rPr>
        <w:t xml:space="preserve"> </w:t>
      </w:r>
      <w:r w:rsidRPr="00622476">
        <w:rPr>
          <w:rFonts w:ascii="Times New Roman" w:hAnsi="Times New Roman" w:cs="Times New Roman"/>
          <w:sz w:val="32"/>
          <w:szCs w:val="32"/>
        </w:rPr>
        <w:t>И</w:t>
      </w:r>
      <w:r w:rsidR="00622476">
        <w:rPr>
          <w:rFonts w:ascii="Times New Roman" w:hAnsi="Times New Roman" w:cs="Times New Roman"/>
          <w:sz w:val="32"/>
          <w:szCs w:val="32"/>
        </w:rPr>
        <w:t xml:space="preserve"> </w:t>
      </w:r>
      <w:r w:rsidRPr="00622476">
        <w:rPr>
          <w:rFonts w:ascii="Times New Roman" w:hAnsi="Times New Roman" w:cs="Times New Roman"/>
          <w:sz w:val="32"/>
          <w:szCs w:val="32"/>
        </w:rPr>
        <w:t>Е</w:t>
      </w:r>
    </w:p>
    <w:p w:rsidR="0083410C" w:rsidRPr="004C1323" w:rsidRDefault="0083410C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3410C" w:rsidRPr="004C1323" w:rsidTr="00B86003">
        <w:tc>
          <w:tcPr>
            <w:tcW w:w="4678" w:type="dxa"/>
            <w:shd w:val="clear" w:color="auto" w:fill="auto"/>
          </w:tcPr>
          <w:p w:rsidR="0083410C" w:rsidRPr="004C1323" w:rsidRDefault="00167F2B" w:rsidP="00167F2B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19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апреля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202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83410C" w:rsidRPr="004C1323" w:rsidRDefault="0083410C" w:rsidP="00167F2B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№ </w:t>
            </w:r>
            <w:r w:rsidR="00167F2B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100</w:t>
            </w:r>
          </w:p>
        </w:tc>
      </w:tr>
    </w:tbl>
    <w:p w:rsidR="0083410C" w:rsidRPr="004C1323" w:rsidRDefault="0083410C" w:rsidP="0083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323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04646E" w:rsidRPr="004C1323" w:rsidRDefault="0004646E" w:rsidP="0083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323" w:rsidRDefault="003907A2" w:rsidP="004C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Бокситогорского муниципального района Ленинградской области </w:t>
      </w:r>
    </w:p>
    <w:p w:rsidR="003907A2" w:rsidRPr="004C1323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132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793E55" w:rsidRPr="004C13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323">
        <w:rPr>
          <w:rFonts w:ascii="Times New Roman" w:hAnsi="Times New Roman" w:cs="Times New Roman"/>
          <w:b/>
          <w:sz w:val="28"/>
          <w:szCs w:val="28"/>
        </w:rPr>
        <w:t>1</w:t>
      </w:r>
      <w:r w:rsidR="003907A2" w:rsidRPr="004C13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 w:rsidRPr="004C1323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04646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2" w:rsidRPr="0004646E" w:rsidRDefault="003907A2" w:rsidP="003907A2">
      <w:pPr>
        <w:pStyle w:val="a3"/>
        <w:ind w:firstLine="709"/>
      </w:pPr>
      <w:r w:rsidRPr="0004646E"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 w:rsidRPr="0004646E">
        <w:t xml:space="preserve"> </w:t>
      </w:r>
      <w:r w:rsidR="002911CD" w:rsidRPr="0004646E">
        <w:t xml:space="preserve">за </w:t>
      </w:r>
      <w:r w:rsidR="004C1323">
        <w:t>1 квартал</w:t>
      </w:r>
      <w:r w:rsidR="00026A19" w:rsidRPr="0004646E">
        <w:t xml:space="preserve"> 202</w:t>
      </w:r>
      <w:r w:rsidR="004C1323">
        <w:t>1</w:t>
      </w:r>
      <w:r w:rsidR="008D1FFC" w:rsidRPr="0004646E">
        <w:t xml:space="preserve"> года </w:t>
      </w:r>
      <w:r w:rsidRPr="0004646E">
        <w:t>в соответствии со статьей 264.6 Бюджетного кодекса Российской Федерации, Совет депутатов Борского сельского поселения Бокситогорского муниципального района Ленинградской области РЕШАЕТ:</w:t>
      </w:r>
    </w:p>
    <w:p w:rsidR="003907A2" w:rsidRPr="0004646E" w:rsidRDefault="003907A2" w:rsidP="003907A2">
      <w:pPr>
        <w:pStyle w:val="a3"/>
        <w:ind w:firstLine="709"/>
      </w:pPr>
    </w:p>
    <w:p w:rsidR="008D1FFC" w:rsidRPr="0004646E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8D1FFC" w:rsidRPr="0004646E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 w:rsidR="004C1323">
        <w:rPr>
          <w:rFonts w:ascii="Times New Roman" w:hAnsi="Times New Roman" w:cs="Times New Roman"/>
          <w:sz w:val="24"/>
          <w:szCs w:val="24"/>
        </w:rPr>
        <w:t>1 квартал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4C1323">
        <w:rPr>
          <w:rFonts w:ascii="Times New Roman" w:hAnsi="Times New Roman" w:cs="Times New Roman"/>
          <w:sz w:val="24"/>
          <w:szCs w:val="24"/>
        </w:rPr>
        <w:t>1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D1FFC" w:rsidRPr="0004646E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резервного фонда Администрации Борского сельского поселения Бокситогорского муниципального района Ленинградской области за </w:t>
      </w:r>
      <w:r w:rsidR="004C1323">
        <w:rPr>
          <w:rFonts w:ascii="Times New Roman" w:hAnsi="Times New Roman" w:cs="Times New Roman"/>
          <w:sz w:val="24"/>
          <w:szCs w:val="24"/>
        </w:rPr>
        <w:t>1 квартал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4C1323">
        <w:rPr>
          <w:rFonts w:ascii="Times New Roman" w:hAnsi="Times New Roman" w:cs="Times New Roman"/>
          <w:sz w:val="24"/>
          <w:szCs w:val="24"/>
        </w:rPr>
        <w:t>1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FFC" w:rsidRPr="0004646E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8D1FFC" w:rsidRPr="0004646E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области в 20</w:t>
      </w:r>
      <w:r w:rsidR="00026A19" w:rsidRPr="0004646E">
        <w:rPr>
          <w:rFonts w:ascii="Times New Roman" w:hAnsi="Times New Roman" w:cs="Times New Roman"/>
          <w:sz w:val="24"/>
          <w:szCs w:val="24"/>
        </w:rPr>
        <w:t>2</w:t>
      </w:r>
      <w:r w:rsidR="004C1323">
        <w:rPr>
          <w:rFonts w:ascii="Times New Roman" w:hAnsi="Times New Roman" w:cs="Times New Roman"/>
          <w:sz w:val="24"/>
          <w:szCs w:val="24"/>
        </w:rPr>
        <w:t>1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D1FFC" w:rsidRPr="0004646E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2.2. обеспечить выполнение принятых на 20</w:t>
      </w:r>
      <w:r w:rsidR="00026A19" w:rsidRPr="0004646E">
        <w:rPr>
          <w:rFonts w:ascii="Times New Roman" w:hAnsi="Times New Roman" w:cs="Times New Roman"/>
          <w:sz w:val="24"/>
          <w:szCs w:val="24"/>
        </w:rPr>
        <w:t>2</w:t>
      </w:r>
      <w:r w:rsidR="004C1323">
        <w:rPr>
          <w:rFonts w:ascii="Times New Roman" w:hAnsi="Times New Roman" w:cs="Times New Roman"/>
          <w:sz w:val="24"/>
          <w:szCs w:val="24"/>
        </w:rPr>
        <w:t>1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 расходных обязательств.</w:t>
      </w:r>
    </w:p>
    <w:p w:rsidR="00BC5564" w:rsidRPr="0004646E" w:rsidRDefault="00BC5564" w:rsidP="00BC556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bCs/>
          <w:sz w:val="24"/>
          <w:szCs w:val="24"/>
        </w:rPr>
        <w:t xml:space="preserve">Настоящее </w:t>
      </w:r>
      <w:r w:rsidR="003D5202" w:rsidRPr="0004646E">
        <w:rPr>
          <w:rFonts w:cs="Times New Roman"/>
          <w:bCs/>
          <w:sz w:val="24"/>
          <w:szCs w:val="24"/>
        </w:rPr>
        <w:t>решение</w:t>
      </w:r>
      <w:r w:rsidRPr="0004646E">
        <w:rPr>
          <w:rFonts w:cs="Times New Roman"/>
          <w:bCs/>
          <w:sz w:val="24"/>
          <w:szCs w:val="24"/>
        </w:rPr>
        <w:t xml:space="preserve"> вступает в силу на следующий день после официального опубликования.</w:t>
      </w:r>
    </w:p>
    <w:p w:rsidR="0030222B" w:rsidRPr="0004646E" w:rsidRDefault="008D1FFC" w:rsidP="00975D18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</w:t>
      </w:r>
      <w:r w:rsidR="00B255D2" w:rsidRPr="0004646E">
        <w:rPr>
          <w:rFonts w:cs="Times New Roman"/>
          <w:sz w:val="24"/>
          <w:szCs w:val="24"/>
        </w:rPr>
        <w:t>го района Ленинградской области:</w:t>
      </w:r>
      <w:r w:rsidR="00BC5564" w:rsidRPr="0004646E">
        <w:rPr>
          <w:sz w:val="24"/>
          <w:szCs w:val="24"/>
        </w:rPr>
        <w:t xml:space="preserve"> </w:t>
      </w:r>
      <w:hyperlink r:id="rId6" w:history="1">
        <w:r w:rsidR="00BC5564" w:rsidRPr="0004646E">
          <w:rPr>
            <w:sz w:val="24"/>
            <w:szCs w:val="24"/>
            <w:u w:val="single"/>
          </w:rPr>
          <w:t>http://www.adm-bor.ru/</w:t>
        </w:r>
      </w:hyperlink>
      <w:r w:rsidR="00BC5564" w:rsidRPr="0004646E">
        <w:rPr>
          <w:sz w:val="24"/>
          <w:szCs w:val="24"/>
        </w:rPr>
        <w:t>.</w:t>
      </w:r>
    </w:p>
    <w:p w:rsidR="00BC5564" w:rsidRPr="0004646E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BC5564" w:rsidRPr="0004646E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58482E" w:rsidRPr="00201381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1">
        <w:rPr>
          <w:rFonts w:ascii="Times New Roman" w:hAnsi="Times New Roman" w:cs="Times New Roman"/>
          <w:sz w:val="24"/>
          <w:szCs w:val="24"/>
        </w:rPr>
        <w:t>Глава Борского с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ельского поселения              </w:t>
      </w:r>
      <w:r w:rsidR="00201381" w:rsidRPr="00201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                                 В.И. Тихонов</w:t>
      </w: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P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46E" w:rsidRDefault="00975D18" w:rsidP="00AB129B">
      <w:pPr>
        <w:jc w:val="both"/>
        <w:rPr>
          <w:rFonts w:ascii="Times New Roman" w:hAnsi="Times New Roman" w:cs="Times New Roman"/>
          <w:sz w:val="20"/>
          <w:szCs w:val="20"/>
        </w:rPr>
      </w:pPr>
      <w:r w:rsidRPr="00201381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Финансово-экономический сектор Администрации Борского СП БМР ЛО, Контрольно-счетная комиссия БМР ЛО, Комитет финансов Администрации БМР ЛО, Бокситогорская городская </w:t>
      </w:r>
      <w:r w:rsidRPr="00201381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201381">
        <w:rPr>
          <w:rFonts w:ascii="Times New Roman" w:hAnsi="Times New Roman" w:cs="Times New Roman"/>
          <w:sz w:val="20"/>
          <w:szCs w:val="20"/>
        </w:rPr>
        <w:t>кция г</w:t>
      </w:r>
      <w:r w:rsidR="00201381">
        <w:rPr>
          <w:rFonts w:ascii="Times New Roman" w:hAnsi="Times New Roman" w:cs="Times New Roman"/>
          <w:sz w:val="20"/>
          <w:szCs w:val="20"/>
        </w:rPr>
        <w:t>азеты «Новый Путь», архив, дело.</w:t>
      </w:r>
    </w:p>
    <w:p w:rsidR="005F7D8B" w:rsidRPr="0004646E" w:rsidRDefault="005F7D8B" w:rsidP="005F7D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7D8B" w:rsidRPr="0004646E" w:rsidRDefault="005F7D8B" w:rsidP="005F7D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Совета депутатов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100 от 19 апреля 2021 года</w:t>
      </w:r>
    </w:p>
    <w:p w:rsidR="005F7D8B" w:rsidRPr="0004646E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итогах исполнения бюджета Борского сельского поселения Бокситогорского муниципального района Ленинградской области </w:t>
      </w:r>
    </w:p>
    <w:p w:rsidR="005F7D8B" w:rsidRPr="0004646E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1 квартал</w:t>
      </w: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5F7D8B" w:rsidRPr="0004646E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D8B" w:rsidRPr="0004646E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5F7D8B" w:rsidRPr="0004646E" w:rsidRDefault="005F7D8B" w:rsidP="005F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Борского сельского поселения Бокситогорского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года исполнена в сумме </w:t>
      </w:r>
      <w:r w:rsidRPr="00EE5F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E5F77">
        <w:rPr>
          <w:rFonts w:ascii="Times New Roman" w:eastAsia="Times New Roman" w:hAnsi="Times New Roman" w:cs="Times New Roman"/>
          <w:bCs/>
          <w:sz w:val="24"/>
          <w:szCs w:val="24"/>
        </w:rPr>
        <w:t>730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5F77">
        <w:rPr>
          <w:rFonts w:ascii="Times New Roman" w:eastAsia="Times New Roman" w:hAnsi="Times New Roman" w:cs="Times New Roman"/>
          <w:bCs/>
          <w:sz w:val="24"/>
          <w:szCs w:val="24"/>
        </w:rPr>
        <w:t>316,05</w:t>
      </w:r>
      <w:r w:rsidRPr="000464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21,76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% к годовому плану. </w:t>
      </w: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поступление доходов увеличилось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1 301 903,51</w:t>
      </w:r>
      <w:r w:rsidRPr="000464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рублей (связано с увеличением объема перечисленных дотаций бюджетам сельских поселений на выравнивание бюджетной обеспеченности из бюджетов муниципальных районов, субсидий из бюджета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иных межбюджетных трансфертов из бюджета Бокситогорского муниципального района Ленинградской области на содержание дорог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5F7D8B" w:rsidRPr="0004646E" w:rsidRDefault="005F7D8B" w:rsidP="005F7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сумме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853 987,54</w:t>
      </w:r>
      <w:r w:rsidRPr="0004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12,64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годовому плану.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поступление собственных доходов поселения уменьшилось на </w:t>
      </w:r>
      <w:r w:rsidRPr="0004646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247 791,46</w:t>
      </w:r>
      <w:r w:rsidRPr="0004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Снижение поступлений отмечается по налогу на имущество физических лиц и земельному налогу (связано </w:t>
      </w:r>
      <w:r w:rsidRPr="0009742E">
        <w:rPr>
          <w:rFonts w:ascii="Times New Roman" w:eastAsia="Times New Roman" w:hAnsi="Times New Roman" w:cs="Times New Roman"/>
          <w:sz w:val="24"/>
          <w:szCs w:val="24"/>
        </w:rPr>
        <w:t>с низким уровнем собираемости и сроком оплаты налог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9742E">
        <w:rPr>
          <w:rFonts w:ascii="Times New Roman" w:eastAsia="Times New Roman" w:hAnsi="Times New Roman" w:cs="Times New Roman"/>
          <w:sz w:val="24"/>
          <w:szCs w:val="24"/>
        </w:rPr>
        <w:t>, установленным на 01 декабря 2021 года за 2020 год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D8B" w:rsidRPr="0004646E" w:rsidRDefault="005F7D8B" w:rsidP="005F7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собственных доходов в структуре доходов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11,05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F7D8B" w:rsidRPr="0004646E" w:rsidRDefault="005F7D8B" w:rsidP="005F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сумме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6 876 328,51</w:t>
      </w:r>
      <w:r w:rsidRPr="0004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23,89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поступление безвозмездных поступлений поселения увеличилось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1 549 694,97</w:t>
      </w:r>
      <w:r w:rsidRPr="000464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 (связано с увеличением объема перечисленных дотаций бюджетам сельских поселений на выравнивание бюджетной обеспеченности из бюджетов муниципальных районов, субсидий из бюджета Ленинградской области). Удельный вес собственных доходов в структуре доходов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88,95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F7D8B" w:rsidRPr="0004646E" w:rsidRDefault="005F7D8B" w:rsidP="005F7D8B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D8B" w:rsidRPr="0004646E" w:rsidRDefault="005F7D8B" w:rsidP="005F7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b/>
          <w:sz w:val="24"/>
          <w:szCs w:val="24"/>
        </w:rPr>
        <w:t>ИСПОЛНЕНИЕ РАСХОДНОЙ ЧАСТИ БЮДЖЕТА</w:t>
      </w:r>
    </w:p>
    <w:p w:rsidR="005F7D8B" w:rsidRPr="0004646E" w:rsidRDefault="005F7D8B" w:rsidP="005F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Расходная часть бюджета Борского сельского поселения Бокситогорского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исполнена в сумме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6 696 076,68</w:t>
      </w:r>
      <w:r w:rsidRPr="0004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8,87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поселения увеличились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1 166 693,62</w:t>
      </w:r>
      <w:r w:rsidRPr="0004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5F7D8B" w:rsidRPr="0004646E" w:rsidRDefault="005F7D8B" w:rsidP="005F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</w:rPr>
        <w:t>Исполнение расходов бюджета поселения осуществлялось по следующим разделам и в нижеуказанных объемах:</w:t>
      </w:r>
    </w:p>
    <w:p w:rsidR="005F7D8B" w:rsidRPr="0004646E" w:rsidRDefault="005F7D8B" w:rsidP="005F7D8B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28 685,75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(оплата за публикацию нормативной документации Совета депутатов Борского сельского поселения Бокситогорского муниципального района Ленинградской области в газете «Новый Путь»;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14,70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0,43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уменьшились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6 998,11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рублей; </w:t>
      </w:r>
    </w:p>
    <w:p w:rsidR="005F7D8B" w:rsidRPr="0004646E" w:rsidRDefault="005F7D8B" w:rsidP="005F7D8B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1 491 450,89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(оплата труда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сотрудников администрации, начисления на выплаты по оплате труда сотрудников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оплата услуг связи, заправка и ремонт картриджей, обслуживание 1С, поддерж</w:t>
      </w:r>
      <w:r>
        <w:rPr>
          <w:rFonts w:ascii="Times New Roman" w:eastAsia="Times New Roman" w:hAnsi="Times New Roman" w:cs="Times New Roman"/>
          <w:sz w:val="24"/>
          <w:szCs w:val="24"/>
        </w:rPr>
        <w:t>ка сайта, оплата электроэнергии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, приобретение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межбюджетных трансфертов на определение поставщиков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межбюджетных трансфертов на</w:t>
      </w:r>
      <w:proofErr w:type="gramEnd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расходы по кассовому исполнению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межбюджетных трансфертов на осуществление муниципального жилищного контроля),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15,67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22,27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175 418,51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  <w:proofErr w:type="gramEnd"/>
    </w:p>
    <w:p w:rsidR="005F7D8B" w:rsidRPr="0004646E" w:rsidRDefault="005F7D8B" w:rsidP="005F7D8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0113 – «Другие общегосударственные вопросы»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44 600,00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(оказание адресной материальной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sz w:val="24"/>
          <w:szCs w:val="24"/>
        </w:rPr>
        <w:t>госпошлины за совершение нотариальных услуг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7,62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0,67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1 570,00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 рублей;</w:t>
      </w:r>
      <w:proofErr w:type="gramEnd"/>
    </w:p>
    <w:p w:rsidR="005F7D8B" w:rsidRDefault="005F7D8B" w:rsidP="005F7D8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0203 – «Мобилизационная и вневойсковая подготовка»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46 356,33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(оплата труда работника воинского учета; начисления на выплаты по оплате труда работника воинского учета),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15,59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</w:rPr>
        <w:t>Удельный вес в структуре расходов бюджета поселения составил 0,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1 339,02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  <w:proofErr w:type="gramEnd"/>
    </w:p>
    <w:p w:rsidR="005F7D8B" w:rsidRPr="00FA387B" w:rsidRDefault="005F7D8B" w:rsidP="005F7D8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0310 – «Защита населения и территории от чрезвычайных ситуаций природного и техногенного характера, пожарная безопасность» 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152 169,47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 xml:space="preserve"> рублей (ТО пожарной сигнализации в здании Администрации Борского СП БМР ЛО; перечисление межбюджетных трансфертов в области создания, содержания и организации деятельности аварийно-спасательных служб,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оборудования для учебно-консультационного пункта по гражданской обороне для неработающего населения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 xml:space="preserve">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25,33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 xml:space="preserve"> год.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2,27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113 169,47</w:t>
      </w:r>
      <w:r w:rsidRPr="00FA387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5F7D8B" w:rsidRPr="0004646E" w:rsidRDefault="005F7D8B" w:rsidP="005F7D8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0409 – «Дорожное хозяйство (дорожные фонды)»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1 114 410,39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(опла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работ по зимнему содержанию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дорог в границах населенных пунктов; оплата работ по зимнему и летнему содержанию дорог вне границ населенных пунктов за счет средств Бокситогорского муниципального района Ленинградской области.),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29,28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proofErr w:type="gramEnd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16,64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годом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302 692,77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5F7D8B" w:rsidRPr="0004646E" w:rsidRDefault="005F7D8B" w:rsidP="005F7D8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0501 – «Жилищное хозяйство»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615 924,31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(ТО состояния строительных конструкций жилых домов, оплата взносов на капитальный ремонт, ремонт муниципальных квартир),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3,26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9,20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499 611,31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  <w:proofErr w:type="gramEnd"/>
    </w:p>
    <w:p w:rsidR="005F7D8B" w:rsidRDefault="005F7D8B" w:rsidP="005F7D8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0502 – «Коммунальное хозяйство»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22 606,87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(ТО состояния строительных конструкций </w:t>
      </w:r>
      <w:r>
        <w:rPr>
          <w:rFonts w:ascii="Times New Roman" w:eastAsia="Times New Roman" w:hAnsi="Times New Roman" w:cs="Times New Roman"/>
          <w:sz w:val="24"/>
          <w:szCs w:val="24"/>
        </w:rPr>
        <w:t>здания бани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в деревне Мозолево-</w:t>
      </w:r>
      <w:r>
        <w:rPr>
          <w:rFonts w:ascii="Times New Roman" w:eastAsia="Times New Roman" w:hAnsi="Times New Roman" w:cs="Times New Roman"/>
          <w:sz w:val="24"/>
          <w:szCs w:val="24"/>
        </w:rPr>
        <w:t>1, ТО газораспределительной сети в поселке Сельхозтехника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0,17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0,34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уменьшилис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ь на </w:t>
      </w:r>
      <w:r>
        <w:rPr>
          <w:rFonts w:ascii="Times New Roman" w:eastAsia="Times New Roman" w:hAnsi="Times New Roman" w:cs="Times New Roman"/>
          <w:sz w:val="24"/>
          <w:szCs w:val="24"/>
        </w:rPr>
        <w:t>17 393,13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 рублей;</w:t>
      </w:r>
      <w:proofErr w:type="gramEnd"/>
    </w:p>
    <w:p w:rsidR="005F7D8B" w:rsidRDefault="005F7D8B" w:rsidP="005F7D8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0503 – «Благоустройство»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554 222,67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(оплата за электроэнергию (АО «ПСК», ООО «РКС»), оплата по договорам подряда за ремонт уличного освещения),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3,26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8,28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уменьшились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-131 075,22</w:t>
      </w:r>
      <w:r w:rsidRPr="00B43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5F7D8B" w:rsidRPr="0004646E" w:rsidRDefault="005F7D8B" w:rsidP="005F7D8B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0801 – «Культура»</w:t>
      </w:r>
      <w:r w:rsidRPr="0004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2 560 127,00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(перечисление субсидий МБУ «Борский культурный центр» на финансовое обеспечение муниципального задания и содержания имущества; стимулирующие выплаты работникам культуры за счет средств бюджета Ленинградской области и бюджета Бокситогорского муниципального 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района; перечисление межбюджетных трансфертов по организации библиотечного обслуживания),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23,99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proofErr w:type="gramEnd"/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38,23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eastAsia="Times New Roman" w:hAnsi="Times New Roman" w:cs="Times New Roman"/>
          <w:sz w:val="24"/>
          <w:szCs w:val="24"/>
        </w:rPr>
        <w:t>228 359,00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5F7D8B" w:rsidRPr="0004646E" w:rsidRDefault="005F7D8B" w:rsidP="005F7D8B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6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1001 – «Пенсионное обеспечение»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– 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65 523,00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рублей (перечисление муниципальной пенсии),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24,67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 к плану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год.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0,98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%. По сравнению с аналогичным периодом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</w:t>
      </w:r>
      <w:r>
        <w:rPr>
          <w:rFonts w:ascii="Times New Roman" w:eastAsia="Times New Roman" w:hAnsi="Times New Roman" w:cs="Times New Roman"/>
          <w:sz w:val="24"/>
          <w:szCs w:val="24"/>
        </w:rPr>
        <w:t>остались на том же уровне</w:t>
      </w:r>
      <w:r w:rsidRPr="00046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D8B" w:rsidRDefault="005F7D8B" w:rsidP="005F7D8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D8B" w:rsidRPr="00EE3026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26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Сводный отчет о целевом использовании средств, выделенных </w:t>
      </w:r>
    </w:p>
    <w:p w:rsidR="005F7D8B" w:rsidRPr="00EE3026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26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5F7D8B" w:rsidRPr="00EE3026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026">
        <w:rPr>
          <w:rFonts w:ascii="Times New Roman" w:eastAsia="Times New Roman" w:hAnsi="Times New Roman" w:cs="Times New Roman"/>
          <w:b/>
          <w:sz w:val="24"/>
          <w:szCs w:val="24"/>
        </w:rPr>
        <w:t>за 1 квартал 2021 года</w:t>
      </w:r>
    </w:p>
    <w:p w:rsidR="005F7D8B" w:rsidRPr="00EE3026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1701"/>
        <w:gridCol w:w="1276"/>
        <w:gridCol w:w="1985"/>
      </w:tblGrid>
      <w:tr w:rsidR="005F7D8B" w:rsidRPr="00EE3026" w:rsidTr="00202F90">
        <w:trPr>
          <w:trHeight w:val="602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</w:t>
            </w:r>
            <w:r w:rsidRPr="00EE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Борского сельского поселения Бокситогорского муниципального района Ленинградской области на 2021 год</w:t>
            </w: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утверждённый Решением Совета Депутатов Борского сельского поселения Бокситогорского муниципального района Ленинградской области № 75 от 15 декабря 2021 года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7D8B" w:rsidRPr="00EE3026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</w:tr>
      <w:tr w:rsidR="005F7D8B" w:rsidRPr="00EE3026" w:rsidTr="00202F90">
        <w:trPr>
          <w:trHeight w:val="484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Направлено в соответствии с распоряжениями Администрации </w:t>
            </w:r>
            <w:r w:rsidRPr="00EE3026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Борского сельского поселения Бокситогорского муниципального района Ленинградской области за 1 квартал 2021 года:</w:t>
            </w:r>
          </w:p>
          <w:p w:rsidR="005F7D8B" w:rsidRPr="00EE3026" w:rsidRDefault="005F7D8B" w:rsidP="00202F90">
            <w:pPr>
              <w:tabs>
                <w:tab w:val="left" w:pos="34"/>
                <w:tab w:val="left" w:pos="21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матер</w:t>
            </w:r>
            <w:bookmarkStart w:id="0" w:name="_GoBack"/>
            <w:bookmarkEnd w:id="0"/>
            <w:r w:rsidRPr="00EE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иальной помощи согласно Положению об оказании адресной материальной помощи гражданам, находящимся в трудной жизненной ситуации, утвержденному Решением </w:t>
            </w: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Совета депутатов</w:t>
            </w:r>
            <w:r w:rsidRPr="00EE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Борского сельского поселения Бокситогорского муниципального района Ленинградской области № 207 от 10 сентября 2018 года (25 600,00 рублей).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5F7D8B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25 600,00</w:t>
            </w:r>
          </w:p>
        </w:tc>
      </w:tr>
      <w:tr w:rsidR="005F7D8B" w:rsidRPr="00EE3026" w:rsidTr="00202F90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в разрезе кодов классификации расходов бюджета</w:t>
            </w:r>
          </w:p>
        </w:tc>
      </w:tr>
      <w:tr w:rsidR="005F7D8B" w:rsidRPr="00EE3026" w:rsidTr="00202F90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5F7D8B" w:rsidRPr="00EE3026" w:rsidTr="00202F90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25 600,00</w:t>
            </w:r>
          </w:p>
        </w:tc>
      </w:tr>
      <w:tr w:rsidR="005F7D8B" w:rsidRPr="00EE3026" w:rsidTr="00202F90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25 600,00</w:t>
            </w:r>
          </w:p>
        </w:tc>
      </w:tr>
      <w:tr w:rsidR="005F7D8B" w:rsidRPr="00EE3026" w:rsidTr="00202F90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25 600,00</w:t>
            </w:r>
          </w:p>
        </w:tc>
      </w:tr>
      <w:tr w:rsidR="005F7D8B" w:rsidRPr="00EE3026" w:rsidTr="00202F90">
        <w:trPr>
          <w:trHeight w:val="5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8B" w:rsidRPr="00EE3026" w:rsidRDefault="005F7D8B" w:rsidP="00202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25 600,00</w:t>
            </w:r>
          </w:p>
        </w:tc>
      </w:tr>
    </w:tbl>
    <w:p w:rsidR="005F7D8B" w:rsidRPr="00EE3026" w:rsidRDefault="005F7D8B" w:rsidP="005F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D8B" w:rsidRPr="00201381" w:rsidRDefault="005F7D8B" w:rsidP="00AB129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7D8B" w:rsidRPr="00201381" w:rsidSect="00BC55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26A19"/>
    <w:rsid w:val="00027BA5"/>
    <w:rsid w:val="0004646E"/>
    <w:rsid w:val="00052D21"/>
    <w:rsid w:val="000A4E80"/>
    <w:rsid w:val="000D6220"/>
    <w:rsid w:val="00116FD8"/>
    <w:rsid w:val="00167597"/>
    <w:rsid w:val="00167F2B"/>
    <w:rsid w:val="001A3EF6"/>
    <w:rsid w:val="00201381"/>
    <w:rsid w:val="002911CD"/>
    <w:rsid w:val="0030222B"/>
    <w:rsid w:val="003456A3"/>
    <w:rsid w:val="00351423"/>
    <w:rsid w:val="003907A2"/>
    <w:rsid w:val="003C1637"/>
    <w:rsid w:val="003D5202"/>
    <w:rsid w:val="003E3BFC"/>
    <w:rsid w:val="004477D7"/>
    <w:rsid w:val="004C1323"/>
    <w:rsid w:val="00561C3D"/>
    <w:rsid w:val="0058482E"/>
    <w:rsid w:val="005D6842"/>
    <w:rsid w:val="005F7D8B"/>
    <w:rsid w:val="00606B06"/>
    <w:rsid w:val="00622476"/>
    <w:rsid w:val="006435AE"/>
    <w:rsid w:val="006635B1"/>
    <w:rsid w:val="006D7EFB"/>
    <w:rsid w:val="00716B10"/>
    <w:rsid w:val="007602A6"/>
    <w:rsid w:val="00787DE6"/>
    <w:rsid w:val="00793E55"/>
    <w:rsid w:val="007F20C5"/>
    <w:rsid w:val="00820949"/>
    <w:rsid w:val="0083410C"/>
    <w:rsid w:val="008D1FFC"/>
    <w:rsid w:val="00962C01"/>
    <w:rsid w:val="00973746"/>
    <w:rsid w:val="00975D18"/>
    <w:rsid w:val="00981D31"/>
    <w:rsid w:val="009C2BB2"/>
    <w:rsid w:val="009E044A"/>
    <w:rsid w:val="00AB129B"/>
    <w:rsid w:val="00AC70D9"/>
    <w:rsid w:val="00B255D2"/>
    <w:rsid w:val="00B25899"/>
    <w:rsid w:val="00BA6EE1"/>
    <w:rsid w:val="00BC5564"/>
    <w:rsid w:val="00C638D9"/>
    <w:rsid w:val="00CB4F34"/>
    <w:rsid w:val="00D004AD"/>
    <w:rsid w:val="00E11D61"/>
    <w:rsid w:val="00E50823"/>
    <w:rsid w:val="00E57785"/>
    <w:rsid w:val="00EC0F7B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dcterms:created xsi:type="dcterms:W3CDTF">2018-03-11T19:49:00Z</dcterms:created>
  <dcterms:modified xsi:type="dcterms:W3CDTF">2021-04-20T09:43:00Z</dcterms:modified>
</cp:coreProperties>
</file>